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426" w:right="141" w:hanging="0"/>
        <w:jc w:val="center"/>
        <w:rPr/>
      </w:pPr>
      <w:r>
        <w:rPr>
          <w:sz w:val="28"/>
          <w:szCs w:val="28"/>
        </w:rPr>
        <w:t>АКТ № 8/2024</w:t>
      </w:r>
    </w:p>
    <w:p>
      <w:pPr>
        <w:pStyle w:val="Normal"/>
        <w:widowControl/>
        <w:suppressAutoHyphens w:val="true"/>
        <w:bidi w:val="0"/>
        <w:spacing w:lineRule="auto" w:line="240" w:before="0" w:after="0"/>
        <w:ind w:left="0" w:right="170" w:hanging="0"/>
        <w:jc w:val="center"/>
        <w:rPr/>
      </w:pPr>
      <w:r>
        <w:rPr>
          <w:sz w:val="28"/>
          <w:szCs w:val="28"/>
        </w:rPr>
        <w:t xml:space="preserve"> </w:t>
      </w:r>
      <w:r>
        <w:rPr>
          <w:sz w:val="28"/>
          <w:szCs w:val="28"/>
        </w:rPr>
        <w:t xml:space="preserve">плановой проверки соблюдения </w:t>
      </w:r>
      <w:r>
        <w:rPr>
          <w:b w:val="false"/>
          <w:bCs w:val="false"/>
          <w:color w:val="000000"/>
          <w:sz w:val="28"/>
          <w:szCs w:val="28"/>
        </w:rPr>
        <w:t>муниципальн</w:t>
      </w:r>
      <w:r>
        <w:rPr>
          <w:rFonts w:eastAsia="Times New Roman" w:cs="Times New Roman"/>
          <w:b w:val="false"/>
          <w:bCs w:val="false"/>
          <w:color w:val="000000"/>
          <w:sz w:val="28"/>
          <w:szCs w:val="28"/>
          <w:lang w:val="ru-RU" w:eastAsia="zh-CN" w:bidi="ar-SA"/>
        </w:rPr>
        <w:t>ым</w:t>
      </w:r>
      <w:r>
        <w:rPr>
          <w:b w:val="false"/>
          <w:bCs w:val="false"/>
          <w:color w:val="000000"/>
          <w:sz w:val="28"/>
          <w:szCs w:val="28"/>
        </w:rPr>
        <w:t xml:space="preserve"> казенным </w:t>
      </w:r>
      <w:r>
        <w:rPr>
          <w:rFonts w:eastAsia="Times New Roman" w:cs="Times New Roman"/>
          <w:b w:val="false"/>
          <w:bCs w:val="false"/>
          <w:color w:val="000000"/>
          <w:sz w:val="28"/>
          <w:szCs w:val="28"/>
          <w:lang w:val="ru-RU" w:eastAsia="zh-CN" w:bidi="ar-SA"/>
        </w:rPr>
        <w:t xml:space="preserve">учреждением «Централизованная бухгалтерия управления образованием администрации муниципального образования Усть-Лабинский район» </w:t>
      </w:r>
      <w:r>
        <w:rPr>
          <w:sz w:val="28"/>
          <w:szCs w:val="28"/>
        </w:rPr>
        <w:t>требований законодательства о контрактной системе в сфере закупок</w:t>
      </w:r>
    </w:p>
    <w:p>
      <w:pPr>
        <w:pStyle w:val="Normal"/>
        <w:ind w:left="-426" w:right="141" w:hanging="0"/>
        <w:jc w:val="both"/>
        <w:rPr>
          <w:sz w:val="28"/>
          <w:szCs w:val="28"/>
        </w:rPr>
      </w:pPr>
      <w:r>
        <w:rPr>
          <w:sz w:val="28"/>
          <w:szCs w:val="28"/>
        </w:rPr>
      </w:r>
    </w:p>
    <w:p>
      <w:pPr>
        <w:pStyle w:val="Normal"/>
        <w:widowControl/>
        <w:suppressAutoHyphens w:val="true"/>
        <w:bidi w:val="0"/>
        <w:spacing w:lineRule="auto" w:line="240" w:before="0" w:after="0"/>
        <w:ind w:left="0" w:right="-454" w:hanging="0"/>
        <w:jc w:val="both"/>
        <w:rPr/>
      </w:pPr>
      <w:r>
        <w:rPr>
          <w:sz w:val="28"/>
          <w:szCs w:val="28"/>
        </w:rPr>
        <w:t>г. Усть-Лабинск</w:t>
        <w:tab/>
        <w:tab/>
        <w:tab/>
        <w:tab/>
        <w:tab/>
        <w:tab/>
        <w:t xml:space="preserve">                                                               </w:t>
      </w:r>
      <w:r>
        <w:rPr>
          <w:rFonts w:eastAsia="Times New Roman" w:cs="Times New Roman"/>
          <w:color w:val="000000"/>
          <w:kern w:val="0"/>
          <w:sz w:val="28"/>
          <w:szCs w:val="28"/>
          <w:lang w:val="ru-RU" w:eastAsia="ru-RU" w:bidi="ar-SA"/>
        </w:rPr>
        <w:t>31</w:t>
      </w:r>
      <w:r>
        <w:rPr>
          <w:sz w:val="28"/>
          <w:szCs w:val="28"/>
        </w:rPr>
        <w:t>.05.2024 г.</w:t>
      </w:r>
    </w:p>
    <w:p>
      <w:pPr>
        <w:pStyle w:val="Normal"/>
        <w:ind w:left="-426" w:right="141" w:hanging="0"/>
        <w:rPr>
          <w:sz w:val="28"/>
          <w:szCs w:val="28"/>
        </w:rPr>
      </w:pPr>
      <w:r>
        <w:rPr>
          <w:sz w:val="28"/>
          <w:szCs w:val="28"/>
        </w:rPr>
      </w:r>
    </w:p>
    <w:p>
      <w:pPr>
        <w:pStyle w:val="Normal"/>
        <w:widowControl/>
        <w:tabs>
          <w:tab w:val="clear" w:pos="408"/>
          <w:tab w:val="left" w:pos="600" w:leader="none"/>
        </w:tabs>
        <w:suppressAutoHyphens w:val="true"/>
        <w:bidi w:val="0"/>
        <w:spacing w:lineRule="auto" w:line="240" w:before="0" w:after="0"/>
        <w:ind w:left="0" w:right="0" w:firstLine="680"/>
        <w:jc w:val="both"/>
        <w:rPr/>
      </w:pPr>
      <w:r>
        <w:rPr>
          <w:sz w:val="28"/>
          <w:szCs w:val="28"/>
          <w:lang w:eastAsia="en-US"/>
        </w:rPr>
        <w:t>В соответствии с планом проверок соблюдения требований законодательства  о контрактной системе в сфере закупок на 2024 год, на основании распоряжения администрации муниципального образования Усть-Лабинский район от 17</w:t>
      </w:r>
      <w:r>
        <w:rPr>
          <w:bCs/>
          <w:sz w:val="28"/>
          <w:szCs w:val="28"/>
          <w:lang w:eastAsia="en-US"/>
        </w:rPr>
        <w:t xml:space="preserve">.04.2024 № </w:t>
      </w:r>
      <w:r>
        <w:rPr>
          <w:rFonts w:eastAsia="Times New Roman" w:cs="Times New Roman"/>
          <w:bCs/>
          <w:color w:val="000000"/>
          <w:kern w:val="0"/>
          <w:sz w:val="28"/>
          <w:szCs w:val="28"/>
          <w:lang w:val="ru-RU" w:eastAsia="en-US" w:bidi="ar-SA"/>
        </w:rPr>
        <w:t>124</w:t>
      </w:r>
      <w:r>
        <w:rPr>
          <w:bCs/>
          <w:sz w:val="28"/>
          <w:szCs w:val="28"/>
          <w:lang w:eastAsia="en-US"/>
        </w:rPr>
        <w:t>-р</w:t>
      </w:r>
      <w:r>
        <w:rPr>
          <w:sz w:val="28"/>
          <w:szCs w:val="28"/>
          <w:lang w:eastAsia="en-US"/>
        </w:rPr>
        <w:t xml:space="preserve">, комиссией, состоящей из специалистов отдела внутреннего финансового контроля администрации муниципального образования Усть-Лабинский район, проведена плановая документарная проверка деятельности муниципального </w:t>
      </w:r>
      <w:r>
        <w:rPr>
          <w:rFonts w:eastAsia="Times New Roman" w:cs="Times New Roman"/>
          <w:color w:val="000000"/>
          <w:kern w:val="0"/>
          <w:sz w:val="28"/>
          <w:szCs w:val="28"/>
          <w:lang w:val="ru-RU" w:eastAsia="en-US" w:bidi="ar-SA"/>
        </w:rPr>
        <w:t>казенного</w:t>
      </w:r>
      <w:r>
        <w:rPr>
          <w:sz w:val="28"/>
          <w:szCs w:val="28"/>
          <w:lang w:eastAsia="en-US"/>
        </w:rPr>
        <w:t xml:space="preserve"> </w:t>
      </w:r>
      <w:r>
        <w:rPr>
          <w:b w:val="false"/>
          <w:bCs w:val="false"/>
          <w:color w:val="000000"/>
          <w:sz w:val="28"/>
          <w:szCs w:val="28"/>
          <w:lang w:eastAsia="en-US"/>
        </w:rPr>
        <w:t xml:space="preserve">учреждения </w:t>
      </w:r>
      <w:r>
        <w:rPr>
          <w:rFonts w:eastAsia="Times New Roman" w:cs="Times New Roman"/>
          <w:b w:val="false"/>
          <w:bCs w:val="false"/>
          <w:color w:val="000000"/>
          <w:sz w:val="28"/>
          <w:szCs w:val="28"/>
          <w:lang w:val="ru-RU" w:eastAsia="zh-CN" w:bidi="ar-SA"/>
        </w:rPr>
        <w:t>«Централизованная бухгалтерия управления образованием администрации муниципального образования Усть-Лабинский район»</w:t>
      </w:r>
      <w:r>
        <w:rPr>
          <w:b w:val="false"/>
          <w:bCs w:val="false"/>
          <w:color w:val="000000"/>
          <w:sz w:val="28"/>
          <w:szCs w:val="28"/>
          <w:lang w:eastAsia="en-US"/>
        </w:rPr>
        <w:t xml:space="preserve"> </w:t>
      </w:r>
      <w:r>
        <w:rPr>
          <w:sz w:val="28"/>
          <w:szCs w:val="28"/>
          <w:lang w:eastAsia="en-US"/>
        </w:rPr>
        <w:t xml:space="preserve"> </w:t>
      </w:r>
      <w:r>
        <w:rPr>
          <w:rFonts w:eastAsia="Times New Roman" w:cs="Times New Roman"/>
          <w:b w:val="false"/>
          <w:bCs w:val="false"/>
          <w:color w:val="000000"/>
          <w:kern w:val="0"/>
          <w:sz w:val="28"/>
          <w:szCs w:val="28"/>
          <w:u w:val="none"/>
          <w:lang w:val="ru-RU" w:eastAsia="en-US" w:bidi="ar-SA"/>
        </w:rPr>
        <w:t xml:space="preserve">(далее – МКУ «ЦБ УО», Заказчик, Учреждение) </w:t>
      </w:r>
      <w:r>
        <w:rPr>
          <w:sz w:val="28"/>
          <w:szCs w:val="28"/>
          <w:lang w:eastAsia="en-US"/>
        </w:rPr>
        <w:t>на предмет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и иных нормативных правовых актов об осуществлении закупок, в целях 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 работ, услуг для обеспечения муниципальных нужд.</w:t>
      </w:r>
    </w:p>
    <w:p>
      <w:pPr>
        <w:pStyle w:val="Normal"/>
        <w:widowControl/>
        <w:suppressAutoHyphens w:val="true"/>
        <w:bidi w:val="0"/>
        <w:spacing w:lineRule="auto" w:line="240" w:before="0" w:after="0"/>
        <w:ind w:left="0" w:right="0" w:firstLine="680"/>
        <w:jc w:val="both"/>
        <w:rPr/>
      </w:pPr>
      <w:r>
        <w:rPr>
          <w:sz w:val="28"/>
          <w:szCs w:val="28"/>
          <w:u w:val="single"/>
          <w:lang w:eastAsia="en-US"/>
        </w:rPr>
        <w:t>Проверяемый период</w:t>
      </w:r>
      <w:r>
        <w:rPr>
          <w:sz w:val="28"/>
          <w:szCs w:val="28"/>
          <w:lang w:eastAsia="en-US"/>
        </w:rPr>
        <w:t xml:space="preserve">: </w:t>
      </w:r>
      <w:r>
        <w:rPr>
          <w:sz w:val="28"/>
          <w:szCs w:val="28"/>
        </w:rPr>
        <w:t>проверке подлежат закупки за последние 3 года до даты начала проведения проверки</w:t>
      </w:r>
      <w:r>
        <w:rPr>
          <w:sz w:val="28"/>
          <w:szCs w:val="28"/>
          <w:lang w:eastAsia="en-US"/>
        </w:rPr>
        <w:t>.</w:t>
      </w:r>
    </w:p>
    <w:p>
      <w:pPr>
        <w:pStyle w:val="Normal"/>
        <w:widowControl/>
        <w:suppressAutoHyphens w:val="true"/>
        <w:bidi w:val="0"/>
        <w:spacing w:lineRule="auto" w:line="240" w:before="0" w:after="0"/>
        <w:ind w:left="0" w:right="0" w:firstLine="680"/>
        <w:jc w:val="both"/>
        <w:rPr/>
      </w:pPr>
      <w:r>
        <w:rPr>
          <w:sz w:val="28"/>
          <w:szCs w:val="28"/>
          <w:u w:val="single"/>
          <w:lang w:eastAsia="en-US"/>
        </w:rPr>
        <w:t>Продолжительность проверки</w:t>
      </w:r>
      <w:r>
        <w:rPr>
          <w:sz w:val="28"/>
          <w:szCs w:val="28"/>
          <w:lang w:eastAsia="en-US"/>
        </w:rPr>
        <w:t xml:space="preserve">: с </w:t>
      </w:r>
      <w:r>
        <w:rPr>
          <w:rFonts w:eastAsia="Times New Roman" w:cs="Times New Roman"/>
          <w:color w:val="000000"/>
          <w:kern w:val="0"/>
          <w:sz w:val="28"/>
          <w:szCs w:val="28"/>
          <w:lang w:val="ru-RU" w:eastAsia="ru-RU" w:bidi="ar-SA"/>
        </w:rPr>
        <w:t>2</w:t>
      </w:r>
      <w:r>
        <w:rPr>
          <w:sz w:val="28"/>
          <w:szCs w:val="28"/>
        </w:rPr>
        <w:t xml:space="preserve"> </w:t>
      </w:r>
      <w:r>
        <w:rPr>
          <w:rFonts w:eastAsia="Times New Roman" w:cs="Times New Roman"/>
          <w:color w:val="000000"/>
          <w:kern w:val="0"/>
          <w:sz w:val="28"/>
          <w:szCs w:val="28"/>
          <w:lang w:val="ru-RU" w:eastAsia="ru-RU" w:bidi="ar-SA"/>
        </w:rPr>
        <w:t>мая</w:t>
      </w:r>
      <w:r>
        <w:rPr>
          <w:sz w:val="28"/>
          <w:szCs w:val="28"/>
        </w:rPr>
        <w:t xml:space="preserve"> 2024 года по 24 </w:t>
      </w:r>
      <w:r>
        <w:rPr>
          <w:rFonts w:eastAsia="Times New Roman" w:cs="Times New Roman"/>
          <w:color w:val="000000"/>
          <w:kern w:val="0"/>
          <w:sz w:val="28"/>
          <w:szCs w:val="28"/>
          <w:lang w:val="ru-RU" w:eastAsia="ru-RU" w:bidi="ar-SA"/>
        </w:rPr>
        <w:t>мая</w:t>
      </w:r>
      <w:r>
        <w:rPr>
          <w:sz w:val="28"/>
          <w:szCs w:val="28"/>
        </w:rPr>
        <w:t xml:space="preserve"> 2024 </w:t>
      </w:r>
      <w:r>
        <w:rPr>
          <w:sz w:val="28"/>
          <w:szCs w:val="28"/>
          <w:lang w:eastAsia="en-US"/>
        </w:rPr>
        <w:t>года.</w:t>
      </w:r>
    </w:p>
    <w:p>
      <w:pPr>
        <w:pStyle w:val="Normal"/>
        <w:widowControl/>
        <w:suppressAutoHyphens w:val="true"/>
        <w:bidi w:val="0"/>
        <w:spacing w:lineRule="auto" w:line="240" w:before="0" w:after="0"/>
        <w:ind w:left="-57" w:right="170" w:firstLine="737"/>
        <w:jc w:val="both"/>
        <w:rPr/>
      </w:pPr>
      <w:r>
        <w:rPr>
          <w:sz w:val="28"/>
          <w:szCs w:val="28"/>
          <w:lang w:eastAsia="en-US"/>
        </w:rPr>
        <w:t xml:space="preserve">Состав комиссии:  </w:t>
      </w:r>
    </w:p>
    <w:p>
      <w:pPr>
        <w:pStyle w:val="Normal"/>
        <w:widowControl w:val="false"/>
        <w:suppressAutoHyphens w:val="true"/>
        <w:bidi w:val="0"/>
        <w:spacing w:lineRule="auto" w:line="240" w:before="0" w:after="0"/>
        <w:ind w:left="0" w:right="0" w:firstLine="680"/>
        <w:jc w:val="both"/>
        <w:rPr/>
      </w:pPr>
      <w:r>
        <w:rPr>
          <w:sz w:val="28"/>
          <w:szCs w:val="28"/>
        </w:rPr>
        <w:t xml:space="preserve">Шибанихина Людмила Васильевна, начальник отдела внутреннего финансового контроля администрации муниципального образования Усть-Лабинский район - </w:t>
      </w:r>
      <w:r>
        <w:rPr>
          <w:color w:val="000000"/>
          <w:sz w:val="28"/>
          <w:szCs w:val="28"/>
        </w:rPr>
        <w:t>руководитель комиссии;</w:t>
      </w:r>
    </w:p>
    <w:p>
      <w:pPr>
        <w:pStyle w:val="Normal"/>
        <w:widowControl w:val="false"/>
        <w:suppressAutoHyphens w:val="true"/>
        <w:bidi w:val="0"/>
        <w:spacing w:lineRule="auto" w:line="240" w:before="0" w:after="0"/>
        <w:ind w:left="0" w:right="0" w:firstLine="680"/>
        <w:jc w:val="both"/>
        <w:rPr/>
      </w:pPr>
      <w:r>
        <w:rPr>
          <w:sz w:val="28"/>
          <w:szCs w:val="28"/>
        </w:rPr>
        <w:t>Радченко Анна Александровна, заведующий сектором контроля в сфере закупок отдела внутреннего финансового контроля администрации муниципального образования Усть-Лабинский район – член комиссии;</w:t>
      </w:r>
    </w:p>
    <w:p>
      <w:pPr>
        <w:pStyle w:val="Normal"/>
        <w:widowControl w:val="false"/>
        <w:suppressAutoHyphens w:val="true"/>
        <w:bidi w:val="0"/>
        <w:spacing w:lineRule="auto" w:line="240" w:before="0" w:after="0"/>
        <w:ind w:left="0" w:right="0" w:firstLine="680"/>
        <w:jc w:val="both"/>
        <w:rPr/>
      </w:pPr>
      <w:r>
        <w:rPr>
          <w:sz w:val="28"/>
          <w:szCs w:val="28"/>
        </w:rPr>
        <w:t xml:space="preserve">Рындина Евгения Андреевна, </w:t>
      </w:r>
      <w:r>
        <w:rPr>
          <w:rFonts w:cs="Times New Roman"/>
          <w:color w:val="000000"/>
          <w:kern w:val="0"/>
          <w:sz w:val="28"/>
          <w:szCs w:val="28"/>
          <w:lang w:val="ru-RU" w:eastAsia="ru-RU" w:bidi="ar-SA"/>
        </w:rPr>
        <w:t>главный</w:t>
      </w:r>
      <w:r>
        <w:rPr>
          <w:sz w:val="28"/>
          <w:szCs w:val="28"/>
        </w:rPr>
        <w:t xml:space="preserve"> специалист сектора контроля в сфере закупок отдела внутреннего финансового контроля администрации муниципального образования Усть-Лабинский район» - член комиссии.</w:t>
      </w:r>
    </w:p>
    <w:p>
      <w:pPr>
        <w:pStyle w:val="Normal"/>
        <w:widowControl/>
        <w:suppressAutoHyphens w:val="true"/>
        <w:bidi w:val="0"/>
        <w:spacing w:lineRule="auto" w:line="240" w:before="0" w:after="0"/>
        <w:ind w:left="0" w:right="0" w:firstLine="680"/>
        <w:jc w:val="both"/>
        <w:rPr/>
      </w:pPr>
      <w:r>
        <w:rPr>
          <w:sz w:val="28"/>
          <w:szCs w:val="28"/>
          <w:lang w:eastAsia="en-US"/>
        </w:rPr>
        <w:t xml:space="preserve">Адрес местонахождения субъекта проверки: </w:t>
      </w:r>
      <w:r>
        <w:rPr>
          <w:sz w:val="28"/>
          <w:szCs w:val="28"/>
        </w:rPr>
        <w:t>3523</w:t>
      </w:r>
      <w:r>
        <w:rPr>
          <w:rFonts w:eastAsia="Times New Roman" w:cs="Times New Roman"/>
          <w:sz w:val="28"/>
          <w:szCs w:val="28"/>
          <w:lang w:eastAsia="ru-RU"/>
        </w:rPr>
        <w:t>30</w:t>
      </w:r>
      <w:r>
        <w:rPr>
          <w:sz w:val="28"/>
          <w:szCs w:val="28"/>
        </w:rPr>
        <w:t xml:space="preserve">, Краснодарский край, Усть-Лабинский район, </w:t>
      </w:r>
      <w:r>
        <w:rPr>
          <w:rFonts w:eastAsia="Times New Roman" w:cs="Times New Roman"/>
          <w:b w:val="false"/>
          <w:i w:val="false"/>
          <w:caps w:val="false"/>
          <w:smallCaps w:val="false"/>
          <w:color w:val="000000"/>
          <w:spacing w:val="0"/>
          <w:kern w:val="0"/>
          <w:sz w:val="28"/>
          <w:szCs w:val="28"/>
          <w:lang w:val="ru-RU" w:eastAsia="en-US" w:bidi="ar-SA"/>
        </w:rPr>
        <w:t>г. Усть-Лабинск, ул. Демьяна Бедного 226</w:t>
      </w:r>
      <w:r>
        <w:rPr>
          <w:sz w:val="28"/>
          <w:szCs w:val="28"/>
        </w:rPr>
        <w:t>.</w:t>
      </w:r>
    </w:p>
    <w:p>
      <w:pPr>
        <w:sectPr>
          <w:type w:val="nextPage"/>
          <w:pgSz w:w="11906" w:h="16838"/>
          <w:pgMar w:left="1134" w:right="740" w:header="0" w:top="1134" w:footer="0" w:bottom="1134" w:gutter="0"/>
          <w:pgNumType w:fmt="decimal"/>
          <w:formProt w:val="false"/>
          <w:textDirection w:val="lrTb"/>
          <w:docGrid w:type="default" w:linePitch="100" w:charSpace="0"/>
        </w:sectPr>
        <w:pStyle w:val="Normal"/>
        <w:widowControl/>
        <w:suppressAutoHyphens w:val="true"/>
        <w:bidi w:val="0"/>
        <w:spacing w:lineRule="auto" w:line="240" w:before="0" w:after="0"/>
        <w:ind w:left="0" w:right="0" w:firstLine="680"/>
        <w:jc w:val="both"/>
        <w:rPr/>
      </w:pPr>
      <w:r>
        <w:rPr>
          <w:sz w:val="28"/>
          <w:szCs w:val="28"/>
          <w:lang w:eastAsia="en-US"/>
        </w:rPr>
        <w:t xml:space="preserve">В проверяемом периоде руководство </w:t>
      </w:r>
      <w:r>
        <w:rPr>
          <w:rFonts w:eastAsia="Times New Roman" w:cs="Times New Roman"/>
          <w:color w:val="000000"/>
          <w:kern w:val="0"/>
          <w:sz w:val="28"/>
          <w:szCs w:val="28"/>
          <w:lang w:val="ru-RU" w:eastAsia="en-US" w:bidi="ar-SA"/>
        </w:rPr>
        <w:t>МКУ «ЦБ УО»</w:t>
      </w:r>
      <w:r>
        <w:rPr>
          <w:sz w:val="28"/>
          <w:szCs w:val="28"/>
          <w:lang w:eastAsia="en-US"/>
        </w:rPr>
        <w:t xml:space="preserve"> осуществлялось Щебетовой Екатериной Александровной</w:t>
      </w:r>
      <w:r>
        <w:rPr>
          <w:rFonts w:eastAsia="Times New Roman" w:cs="Times New Roman"/>
          <w:color w:val="000000"/>
          <w:kern w:val="0"/>
          <w:sz w:val="28"/>
          <w:szCs w:val="28"/>
          <w:lang w:val="ru-RU" w:eastAsia="en-US" w:bidi="ar-SA"/>
        </w:rPr>
        <w:t xml:space="preserve"> </w:t>
      </w:r>
      <w:r>
        <w:rPr>
          <w:sz w:val="28"/>
          <w:szCs w:val="28"/>
          <w:lang w:eastAsia="en-US"/>
        </w:rPr>
        <w:t xml:space="preserve"> в соответствии с приказом районного управления образованием администрации Усть-Лабинского района </w:t>
      </w:r>
      <w:r>
        <w:rPr>
          <w:color w:val="000000"/>
          <w:sz w:val="28"/>
          <w:szCs w:val="28"/>
          <w:lang w:eastAsia="en-US"/>
        </w:rPr>
        <w:t xml:space="preserve">от </w:t>
      </w:r>
      <w:r>
        <w:rPr>
          <w:rFonts w:eastAsia="Times New Roman" w:cs="Times New Roman"/>
          <w:color w:val="000000"/>
          <w:kern w:val="0"/>
          <w:sz w:val="28"/>
          <w:szCs w:val="28"/>
          <w:lang w:val="ru-RU" w:eastAsia="en-US" w:bidi="ar-SA"/>
        </w:rPr>
        <w:t>30</w:t>
      </w:r>
      <w:r>
        <w:rPr>
          <w:color w:val="000000"/>
          <w:sz w:val="28"/>
          <w:szCs w:val="28"/>
          <w:lang w:eastAsia="en-US"/>
        </w:rPr>
        <w:t>.11.20</w:t>
      </w:r>
      <w:r>
        <w:rPr>
          <w:rFonts w:eastAsia="Times New Roman" w:cs="Times New Roman"/>
          <w:color w:val="000000"/>
          <w:kern w:val="0"/>
          <w:sz w:val="28"/>
          <w:szCs w:val="28"/>
          <w:lang w:val="ru-RU" w:eastAsia="en-US" w:bidi="ar-SA"/>
        </w:rPr>
        <w:t>20</w:t>
      </w:r>
      <w:r>
        <w:rPr>
          <w:color w:val="000000"/>
          <w:sz w:val="28"/>
          <w:szCs w:val="28"/>
          <w:lang w:eastAsia="en-US"/>
        </w:rPr>
        <w:t xml:space="preserve"> № 26-</w:t>
      </w:r>
      <w:r>
        <w:rPr>
          <w:rFonts w:eastAsia="Times New Roman" w:cs="Times New Roman"/>
          <w:color w:val="000000"/>
          <w:kern w:val="0"/>
          <w:sz w:val="28"/>
          <w:szCs w:val="28"/>
          <w:lang w:val="ru-RU" w:eastAsia="en-US" w:bidi="ar-SA"/>
        </w:rPr>
        <w:t>Л</w:t>
      </w:r>
      <w:r>
        <w:rPr>
          <w:color w:val="000000"/>
          <w:sz w:val="28"/>
          <w:szCs w:val="28"/>
          <w:lang w:eastAsia="en-US"/>
        </w:rPr>
        <w:t xml:space="preserve"> «О приеме работника на работу»  с </w:t>
      </w:r>
      <w:r>
        <w:rPr>
          <w:rFonts w:eastAsia="Times New Roman" w:cs="Times New Roman"/>
          <w:color w:val="000000"/>
          <w:kern w:val="0"/>
          <w:sz w:val="28"/>
          <w:szCs w:val="28"/>
          <w:lang w:val="ru-RU" w:eastAsia="en-US" w:bidi="ar-SA"/>
        </w:rPr>
        <w:t>01</w:t>
      </w:r>
      <w:r>
        <w:rPr>
          <w:color w:val="000000"/>
          <w:sz w:val="28"/>
          <w:szCs w:val="28"/>
          <w:lang w:eastAsia="en-US"/>
        </w:rPr>
        <w:t>.12.2020</w:t>
      </w:r>
      <w:r>
        <w:rPr>
          <w:rFonts w:eastAsia="Times New Roman" w:cs="Times New Roman"/>
          <w:color w:val="000000"/>
          <w:kern w:val="0"/>
          <w:sz w:val="28"/>
          <w:szCs w:val="28"/>
          <w:lang w:val="ru-RU" w:eastAsia="en-US" w:bidi="ar-SA"/>
        </w:rPr>
        <w:t xml:space="preserve"> года </w:t>
      </w:r>
      <w:r>
        <w:rPr>
          <w:rFonts w:eastAsia="Times New Roman" w:cs="Times New Roman"/>
          <w:bCs/>
          <w:color w:val="000000"/>
          <w:kern w:val="0"/>
          <w:sz w:val="28"/>
          <w:szCs w:val="28"/>
          <w:lang w:val="ru-RU" w:eastAsia="en-US" w:bidi="ar-SA"/>
        </w:rPr>
        <w:t>(Приложение № 1)</w:t>
      </w:r>
      <w:r>
        <w:rPr>
          <w:rFonts w:eastAsia="Times New Roman" w:cs="Times New Roman"/>
          <w:color w:val="000000"/>
          <w:kern w:val="0"/>
          <w:sz w:val="28"/>
          <w:szCs w:val="28"/>
          <w:lang w:val="ru-RU" w:eastAsia="en-US" w:bidi="ar-SA"/>
        </w:rPr>
        <w:t>.</w:t>
      </w:r>
    </w:p>
    <w:p>
      <w:pPr>
        <w:pStyle w:val="Normal"/>
        <w:widowControl/>
        <w:suppressAutoHyphens w:val="true"/>
        <w:bidi w:val="0"/>
        <w:spacing w:lineRule="auto" w:line="240" w:before="0" w:after="0"/>
        <w:ind w:left="0" w:right="0" w:firstLine="680"/>
        <w:jc w:val="both"/>
        <w:rPr/>
      </w:pPr>
      <w:r>
        <w:rPr>
          <w:sz w:val="28"/>
          <w:szCs w:val="28"/>
          <w:lang w:eastAsia="en-US"/>
        </w:rPr>
        <w:t xml:space="preserve">В ходе проведения плановой проверки были изучены следующие документы и материалы Заказчика:  </w:t>
      </w:r>
    </w:p>
    <w:p>
      <w:pPr>
        <w:pStyle w:val="Normal"/>
        <w:widowControl/>
        <w:suppressAutoHyphens w:val="true"/>
        <w:bidi w:val="0"/>
        <w:spacing w:lineRule="auto" w:line="240" w:before="0" w:after="0"/>
        <w:ind w:left="0" w:right="0" w:firstLine="680"/>
        <w:jc w:val="both"/>
        <w:rPr/>
      </w:pPr>
      <w:r>
        <w:rPr>
          <w:sz w:val="28"/>
          <w:szCs w:val="28"/>
          <w:lang w:eastAsia="en-US"/>
        </w:rPr>
        <w:t xml:space="preserve">- Должностная инструкция </w:t>
      </w:r>
      <w:r>
        <w:rPr>
          <w:rFonts w:eastAsia="Times New Roman" w:cs="Times New Roman"/>
          <w:sz w:val="28"/>
          <w:szCs w:val="28"/>
          <w:lang w:eastAsia="en-US"/>
        </w:rPr>
        <w:t>директора</w:t>
      </w:r>
      <w:r>
        <w:rPr>
          <w:sz w:val="28"/>
          <w:szCs w:val="28"/>
          <w:lang w:eastAsia="en-US"/>
        </w:rPr>
        <w:t xml:space="preserve"> </w:t>
      </w:r>
      <w:r>
        <w:rPr>
          <w:rFonts w:eastAsia="Times New Roman" w:cs="Times New Roman"/>
          <w:color w:val="000000"/>
          <w:kern w:val="0"/>
          <w:sz w:val="28"/>
          <w:szCs w:val="28"/>
          <w:lang w:val="ru-RU" w:eastAsia="en-US" w:bidi="ar-SA"/>
        </w:rPr>
        <w:t>Учреждения</w:t>
      </w:r>
      <w:r>
        <w:rPr>
          <w:sz w:val="28"/>
          <w:szCs w:val="28"/>
          <w:lang w:eastAsia="en-US"/>
        </w:rPr>
        <w:t>;</w:t>
      </w:r>
    </w:p>
    <w:p>
      <w:pPr>
        <w:pStyle w:val="Normal"/>
        <w:widowControl/>
        <w:suppressAutoHyphens w:val="true"/>
        <w:bidi w:val="0"/>
        <w:spacing w:lineRule="auto" w:line="240" w:before="0" w:after="0"/>
        <w:ind w:left="0" w:right="0" w:firstLine="680"/>
        <w:jc w:val="both"/>
        <w:rPr/>
      </w:pPr>
      <w:r>
        <w:rPr>
          <w:sz w:val="28"/>
          <w:szCs w:val="28"/>
          <w:lang w:eastAsia="en-US"/>
        </w:rPr>
        <w:t>- План-график закупок товаров, работ, услуг для обеспечения муниципальных нужд (далее – План-график) на 2021, 2022, 2023, 2024 годы;</w:t>
      </w:r>
    </w:p>
    <w:p>
      <w:pPr>
        <w:pStyle w:val="Normal"/>
        <w:widowControl/>
        <w:suppressAutoHyphens w:val="true"/>
        <w:bidi w:val="0"/>
        <w:spacing w:lineRule="auto" w:line="240" w:before="0" w:after="0"/>
        <w:ind w:left="0" w:right="0" w:firstLine="680"/>
        <w:jc w:val="both"/>
        <w:rPr/>
      </w:pPr>
      <w:r>
        <w:rPr>
          <w:sz w:val="28"/>
          <w:szCs w:val="28"/>
          <w:lang w:eastAsia="en-US"/>
        </w:rPr>
        <w:t xml:space="preserve"> </w:t>
      </w:r>
      <w:r>
        <w:rPr>
          <w:sz w:val="28"/>
          <w:szCs w:val="28"/>
          <w:lang w:eastAsia="en-US"/>
        </w:rPr>
        <w:t>Бюджетная смета (далее – Бюджетная смета) на 2021, 2022, 2023, 2024 финансовые годы;</w:t>
      </w:r>
    </w:p>
    <w:p>
      <w:pPr>
        <w:pStyle w:val="Normal"/>
        <w:widowControl/>
        <w:suppressAutoHyphens w:val="true"/>
        <w:bidi w:val="0"/>
        <w:spacing w:lineRule="auto" w:line="240" w:before="0" w:after="0"/>
        <w:ind w:left="0" w:right="0" w:firstLine="680"/>
        <w:jc w:val="both"/>
        <w:rPr/>
      </w:pPr>
      <w:r>
        <w:rPr>
          <w:sz w:val="28"/>
          <w:szCs w:val="28"/>
          <w:lang w:eastAsia="en-US"/>
        </w:rPr>
        <w:t>- Отчет об объеме закупок у субъектов малого предпринимательства и социально ориентированных некоммерческих организаций за 2021, 2022, 2023 отчетные годы;</w:t>
      </w:r>
    </w:p>
    <w:p>
      <w:pPr>
        <w:pStyle w:val="Normal"/>
        <w:widowControl/>
        <w:suppressAutoHyphens w:val="true"/>
        <w:overflowPunct w:val="false"/>
        <w:bidi w:val="0"/>
        <w:spacing w:lineRule="auto" w:line="240" w:before="0" w:after="0"/>
        <w:ind w:left="0" w:right="0" w:firstLine="680"/>
        <w:jc w:val="both"/>
        <w:rPr/>
      </w:pPr>
      <w:r>
        <w:rPr>
          <w:sz w:val="28"/>
          <w:szCs w:val="28"/>
          <w:lang w:eastAsia="en-US"/>
        </w:rPr>
        <w:t xml:space="preserve">- </w:t>
      </w:r>
      <w:r>
        <w:rPr>
          <w:rFonts w:eastAsia="Times New Roman" w:cs="Times New Roman"/>
          <w:color w:val="000000"/>
          <w:kern w:val="0"/>
          <w:sz w:val="28"/>
          <w:szCs w:val="28"/>
          <w:lang w:val="ru-RU" w:eastAsia="en-US" w:bidi="ar-SA"/>
        </w:rPr>
        <w:t>О</w:t>
      </w:r>
      <w:r>
        <w:rPr>
          <w:sz w:val="28"/>
          <w:szCs w:val="28"/>
          <w:lang w:eastAsia="en-US"/>
        </w:rPr>
        <w:t>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статьи 30.1 Закона № 44-ФЗ за 2021, 2022, 2023 отчетные годы.</w:t>
      </w:r>
    </w:p>
    <w:p>
      <w:pPr>
        <w:pStyle w:val="Normal"/>
        <w:widowControl/>
        <w:suppressAutoHyphens w:val="true"/>
        <w:bidi w:val="0"/>
        <w:spacing w:lineRule="auto" w:line="240" w:before="0" w:after="0"/>
        <w:ind w:left="0" w:right="170" w:firstLine="680"/>
        <w:jc w:val="both"/>
        <w:rPr/>
      </w:pPr>
      <w:r>
        <w:rPr>
          <w:sz w:val="28"/>
          <w:szCs w:val="28"/>
          <w:lang w:eastAsia="en-US"/>
        </w:rPr>
        <w:t>Проверка проведена выборочным методом.</w:t>
      </w:r>
    </w:p>
    <w:p>
      <w:pPr>
        <w:pStyle w:val="Normal"/>
        <w:widowControl/>
        <w:suppressAutoHyphens w:val="true"/>
        <w:bidi w:val="0"/>
        <w:spacing w:lineRule="auto" w:line="240" w:before="0" w:after="0"/>
        <w:ind w:left="0" w:right="170" w:firstLine="680"/>
        <w:jc w:val="both"/>
        <w:rPr/>
      </w:pPr>
      <w:r>
        <w:rPr>
          <w:sz w:val="28"/>
          <w:szCs w:val="28"/>
          <w:lang w:eastAsia="en-US"/>
        </w:rPr>
        <w:t xml:space="preserve">В ходе проведения плановой проверки установлено следующее: </w:t>
      </w:r>
    </w:p>
    <w:p>
      <w:pPr>
        <w:pStyle w:val="Normal"/>
        <w:widowControl/>
        <w:suppressAutoHyphens w:val="true"/>
        <w:bidi w:val="0"/>
        <w:spacing w:lineRule="auto" w:line="240" w:before="0" w:after="0"/>
        <w:ind w:left="0" w:right="0" w:firstLine="680"/>
        <w:jc w:val="both"/>
        <w:rPr/>
      </w:pPr>
      <w:r>
        <w:rPr>
          <w:sz w:val="28"/>
          <w:szCs w:val="28"/>
          <w:shd w:fill="auto" w:val="clear"/>
        </w:rPr>
        <w:t xml:space="preserve">1. </w:t>
      </w:r>
      <w:r>
        <w:rPr>
          <w:sz w:val="28"/>
          <w:szCs w:val="28"/>
        </w:rPr>
        <w:t xml:space="preserve">В соответствии с подпунктом «а» пункта 12 </w:t>
      </w:r>
      <w:r>
        <w:rPr>
          <w:sz w:val="28"/>
          <w:szCs w:val="28"/>
          <w:lang w:eastAsia="en-US"/>
        </w:rPr>
        <w:t>Постановлени</w:t>
      </w:r>
      <w:r>
        <w:rPr>
          <w:rFonts w:eastAsia="Times New Roman" w:cs="Times New Roman"/>
          <w:color w:val="000000"/>
          <w:kern w:val="0"/>
          <w:sz w:val="28"/>
          <w:szCs w:val="28"/>
          <w:lang w:val="ru-RU" w:eastAsia="en-US" w:bidi="ar-SA"/>
        </w:rPr>
        <w:t>я</w:t>
      </w:r>
      <w:r>
        <w:rPr>
          <w:sz w:val="28"/>
          <w:szCs w:val="28"/>
          <w:lang w:eastAsia="en-US"/>
        </w:rPr>
        <w:t xml:space="preserve"> Правительства Российской Федерации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от 30.09.2019 № 1279 (далее – Положение № 1279)</w:t>
      </w:r>
      <w:r>
        <w:rPr>
          <w:sz w:val="28"/>
          <w:szCs w:val="28"/>
        </w:rPr>
        <w:t xml:space="preserve">  Планы-графики закупок утверждаются государственными заказчиками, действующими от имени субъекта Российской Федерации  или муниципальными заказчиками, действующими от имени муниципального образования  в течение 10 рабочих дней  </w:t>
      </w:r>
      <w:r>
        <w:rPr>
          <w:color w:val="000000"/>
          <w:sz w:val="28"/>
          <w:szCs w:val="28"/>
          <w:shd w:fill="auto" w:val="clear"/>
        </w:rPr>
        <w:t>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r>
        <w:rPr>
          <w:sz w:val="28"/>
          <w:szCs w:val="28"/>
        </w:rPr>
        <w:t>.</w:t>
      </w:r>
    </w:p>
    <w:p>
      <w:pPr>
        <w:pStyle w:val="Normal"/>
        <w:widowControl/>
        <w:suppressAutoHyphens w:val="true"/>
        <w:bidi w:val="0"/>
        <w:spacing w:lineRule="auto" w:line="240" w:before="0" w:after="0"/>
        <w:ind w:left="0" w:right="0" w:firstLine="680"/>
        <w:jc w:val="both"/>
        <w:rPr/>
      </w:pPr>
      <w:r>
        <w:rPr>
          <w:sz w:val="28"/>
          <w:szCs w:val="28"/>
        </w:rPr>
        <w:t xml:space="preserve">Согласно представленной Заказчиком информации </w:t>
      </w:r>
      <w:r>
        <w:rPr>
          <w:sz w:val="28"/>
          <w:szCs w:val="28"/>
          <w:lang w:eastAsia="en-US"/>
        </w:rPr>
        <w:t xml:space="preserve">Бюджетная смета </w:t>
      </w:r>
      <w:r>
        <w:rPr>
          <w:sz w:val="28"/>
          <w:szCs w:val="28"/>
        </w:rPr>
        <w:t>на 2022 год утверждена 13 января 2022 года,  на 2023 год - 13 января 2023 года, на 2024 год — 29 декабря 2023 года.</w:t>
      </w:r>
    </w:p>
    <w:p>
      <w:pPr>
        <w:pStyle w:val="Normal"/>
        <w:widowControl/>
        <w:suppressAutoHyphens w:val="true"/>
        <w:bidi w:val="0"/>
        <w:spacing w:lineRule="auto" w:line="240" w:before="0" w:after="0"/>
        <w:ind w:left="0" w:right="0" w:firstLine="567"/>
        <w:jc w:val="both"/>
        <w:rPr/>
      </w:pPr>
      <w:r>
        <w:rPr>
          <w:sz w:val="28"/>
          <w:szCs w:val="28"/>
        </w:rPr>
        <w:t>План-график  на 2022 год должен быть утвержден  не позднее 2</w:t>
      </w:r>
      <w:r>
        <w:rPr>
          <w:rFonts w:eastAsia="Times New Roman" w:cs="Times New Roman"/>
          <w:color w:val="000000"/>
          <w:kern w:val="0"/>
          <w:sz w:val="28"/>
          <w:szCs w:val="28"/>
          <w:lang w:val="ru-RU" w:eastAsia="ru-RU" w:bidi="ar-SA"/>
        </w:rPr>
        <w:t>7</w:t>
      </w:r>
      <w:r>
        <w:rPr>
          <w:sz w:val="28"/>
          <w:szCs w:val="28"/>
        </w:rPr>
        <w:t xml:space="preserve"> января 2022 года.</w:t>
      </w:r>
    </w:p>
    <w:p>
      <w:pPr>
        <w:pStyle w:val="Normal"/>
        <w:widowControl/>
        <w:suppressAutoHyphens w:val="true"/>
        <w:bidi w:val="0"/>
        <w:spacing w:lineRule="auto" w:line="240" w:before="0" w:after="0"/>
        <w:ind w:left="0" w:right="0" w:firstLine="680"/>
        <w:jc w:val="both"/>
        <w:rPr/>
      </w:pPr>
      <w:r>
        <w:rPr>
          <w:sz w:val="28"/>
          <w:szCs w:val="28"/>
        </w:rPr>
        <w:t xml:space="preserve">Фактически План-график на 2022 год утвержден </w:t>
      </w:r>
      <w:r>
        <w:rPr>
          <w:rFonts w:eastAsia="Times New Roman" w:cs="Times New Roman"/>
          <w:color w:val="000000"/>
          <w:kern w:val="0"/>
          <w:sz w:val="28"/>
          <w:szCs w:val="28"/>
          <w:lang w:val="ru-RU" w:eastAsia="ru-RU" w:bidi="ar-SA"/>
        </w:rPr>
        <w:t>24</w:t>
      </w:r>
      <w:r>
        <w:rPr>
          <w:sz w:val="28"/>
          <w:szCs w:val="28"/>
        </w:rPr>
        <w:t xml:space="preserve"> января 2022 года, что   соответствует требованиям вышеуказанного нормативного правового акта. </w:t>
      </w:r>
    </w:p>
    <w:p>
      <w:pPr>
        <w:pStyle w:val="Normal"/>
        <w:widowControl/>
        <w:suppressAutoHyphens w:val="true"/>
        <w:bidi w:val="0"/>
        <w:spacing w:lineRule="auto" w:line="240" w:before="0" w:after="0"/>
        <w:ind w:left="0" w:right="0" w:firstLine="567"/>
        <w:jc w:val="both"/>
        <w:rPr/>
      </w:pPr>
      <w:r>
        <w:rPr>
          <w:sz w:val="28"/>
          <w:szCs w:val="28"/>
        </w:rPr>
        <w:t>План-график  на 202</w:t>
      </w:r>
      <w:r>
        <w:rPr>
          <w:rFonts w:eastAsia="Times New Roman" w:cs="Times New Roman"/>
          <w:color w:val="000000"/>
          <w:kern w:val="0"/>
          <w:sz w:val="28"/>
          <w:szCs w:val="28"/>
          <w:lang w:val="ru-RU" w:eastAsia="ru-RU" w:bidi="ar-SA"/>
        </w:rPr>
        <w:t>3</w:t>
      </w:r>
      <w:r>
        <w:rPr>
          <w:sz w:val="28"/>
          <w:szCs w:val="28"/>
        </w:rPr>
        <w:t xml:space="preserve"> год должен быть утвержден не позднее 2</w:t>
      </w:r>
      <w:r>
        <w:rPr>
          <w:rFonts w:eastAsia="Times New Roman" w:cs="Times New Roman"/>
          <w:color w:val="000000"/>
          <w:kern w:val="0"/>
          <w:sz w:val="28"/>
          <w:szCs w:val="28"/>
          <w:lang w:val="ru-RU" w:eastAsia="ru-RU" w:bidi="ar-SA"/>
        </w:rPr>
        <w:t>7</w:t>
      </w:r>
      <w:r>
        <w:rPr>
          <w:sz w:val="28"/>
          <w:szCs w:val="28"/>
        </w:rPr>
        <w:t xml:space="preserve"> января 2023 года.</w:t>
      </w:r>
    </w:p>
    <w:p>
      <w:pPr>
        <w:pStyle w:val="Normal"/>
        <w:widowControl/>
        <w:suppressAutoHyphens w:val="true"/>
        <w:bidi w:val="0"/>
        <w:spacing w:lineRule="auto" w:line="240" w:before="0" w:after="0"/>
        <w:ind w:left="0" w:right="0" w:firstLine="680"/>
        <w:jc w:val="both"/>
        <w:rPr/>
      </w:pPr>
      <w:r>
        <w:rPr>
          <w:sz w:val="28"/>
          <w:szCs w:val="28"/>
        </w:rPr>
        <w:t xml:space="preserve">Фактически План-график на 2023 год утвержден 18 января 2023 года, что   соответствует требованиям вышеуказанного нормативного правового акта. </w:t>
      </w:r>
    </w:p>
    <w:p>
      <w:pPr>
        <w:pStyle w:val="Normal"/>
        <w:widowControl/>
        <w:suppressAutoHyphens w:val="true"/>
        <w:bidi w:val="0"/>
        <w:spacing w:lineRule="auto" w:line="240" w:before="0" w:after="0"/>
        <w:ind w:left="0" w:right="0" w:firstLine="567"/>
        <w:jc w:val="both"/>
        <w:rPr/>
      </w:pPr>
      <w:r>
        <w:rPr>
          <w:sz w:val="28"/>
          <w:szCs w:val="28"/>
        </w:rPr>
        <w:t>План-график  на 202</w:t>
      </w:r>
      <w:r>
        <w:rPr>
          <w:rFonts w:eastAsia="Times New Roman" w:cs="Times New Roman"/>
          <w:color w:val="000000"/>
          <w:kern w:val="0"/>
          <w:sz w:val="28"/>
          <w:szCs w:val="28"/>
          <w:lang w:val="ru-RU" w:eastAsia="ru-RU" w:bidi="ar-SA"/>
        </w:rPr>
        <w:t>4</w:t>
      </w:r>
      <w:r>
        <w:rPr>
          <w:sz w:val="28"/>
          <w:szCs w:val="28"/>
        </w:rPr>
        <w:t xml:space="preserve"> год должен быть утвержден не позднее 2</w:t>
      </w:r>
      <w:r>
        <w:rPr>
          <w:rFonts w:eastAsia="Times New Roman" w:cs="Times New Roman"/>
          <w:color w:val="000000"/>
          <w:kern w:val="0"/>
          <w:sz w:val="28"/>
          <w:szCs w:val="28"/>
          <w:lang w:val="ru-RU" w:eastAsia="ru-RU" w:bidi="ar-SA"/>
        </w:rPr>
        <w:t>2</w:t>
      </w:r>
      <w:r>
        <w:rPr>
          <w:sz w:val="28"/>
          <w:szCs w:val="28"/>
        </w:rPr>
        <w:t xml:space="preserve"> января 2024 года.</w:t>
      </w:r>
    </w:p>
    <w:p>
      <w:pPr>
        <w:pStyle w:val="Normal"/>
        <w:widowControl/>
        <w:suppressAutoHyphens w:val="true"/>
        <w:bidi w:val="0"/>
        <w:spacing w:lineRule="auto" w:line="240" w:before="0" w:after="0"/>
        <w:ind w:left="0" w:right="0" w:firstLine="680"/>
        <w:jc w:val="both"/>
        <w:rPr/>
      </w:pPr>
      <w:r>
        <w:rPr>
          <w:sz w:val="28"/>
          <w:szCs w:val="28"/>
        </w:rPr>
        <w:t>Фактически План-график на 2024 год утвержден 12 января 2024 года, что   соответствует требованиям вышеуказанного нормативного правового акта. Нарушений не установлено.</w:t>
      </w:r>
    </w:p>
    <w:p>
      <w:pPr>
        <w:pStyle w:val="Normal"/>
        <w:widowControl/>
        <w:suppressAutoHyphens w:val="true"/>
        <w:bidi w:val="0"/>
        <w:spacing w:lineRule="auto" w:line="240" w:before="0" w:after="0"/>
        <w:ind w:left="0" w:right="0" w:firstLine="680"/>
        <w:jc w:val="both"/>
        <w:rPr/>
      </w:pPr>
      <w:r>
        <w:rPr>
          <w:b w:val="false"/>
          <w:bCs/>
          <w:color w:val="000000"/>
          <w:sz w:val="28"/>
          <w:szCs w:val="28"/>
        </w:rPr>
        <w:t xml:space="preserve">2. Согласно части 4 статьи 30 Закона № 44-ФЗ по итогам года заказчик обязан составить отчет об объеме закупок у субъектов малого предпринимательства (СМП), социально ориентированных некоммерческих организаций (СОНКО) (далее - Отчет об объеме закупок у СМП и СОНКО или Отчет), предусмотренных частью 2 статьи 30 Закона № 44-ФЗ, и до 1 апреля года, следующего за отчетным, разместить Отчет в единой информационной системе (далее – ЕИС). </w:t>
      </w:r>
    </w:p>
    <w:p>
      <w:pPr>
        <w:pStyle w:val="Normal"/>
        <w:widowControl/>
        <w:suppressAutoHyphens w:val="true"/>
        <w:bidi w:val="0"/>
        <w:spacing w:lineRule="auto" w:line="240" w:before="0" w:after="0"/>
        <w:ind w:left="0" w:right="0" w:firstLine="680"/>
        <w:jc w:val="both"/>
        <w:rPr/>
      </w:pPr>
      <w:r>
        <w:rPr>
          <w:b w:val="false"/>
          <w:bCs/>
          <w:color w:val="000000"/>
          <w:sz w:val="28"/>
          <w:szCs w:val="28"/>
        </w:rPr>
        <w:t>Согласно информации из реестра отчетов заказчиков, размещенных в ЕИС, Отчет Заказчика об объеме закупок у СМП и СОНКО за 202</w:t>
      </w:r>
      <w:r>
        <w:rPr>
          <w:b w:val="false"/>
          <w:bCs/>
          <w:color w:val="000000"/>
          <w:sz w:val="28"/>
          <w:szCs w:val="28"/>
          <w:lang w:val="en-US"/>
        </w:rPr>
        <w:t>1</w:t>
      </w:r>
      <w:r>
        <w:rPr>
          <w:b w:val="false"/>
          <w:bCs/>
          <w:color w:val="000000"/>
          <w:sz w:val="28"/>
          <w:szCs w:val="28"/>
        </w:rPr>
        <w:t xml:space="preserve"> год размещен в ЕИС</w:t>
      </w:r>
      <w:r>
        <w:rPr>
          <w:b w:val="false"/>
          <w:bCs/>
          <w:color w:val="000000"/>
          <w:sz w:val="28"/>
          <w:szCs w:val="28"/>
          <w:lang w:val="en-US"/>
        </w:rPr>
        <w:t xml:space="preserve"> 28</w:t>
      </w:r>
      <w:r>
        <w:rPr>
          <w:b w:val="false"/>
          <w:bCs/>
          <w:color w:val="000000"/>
          <w:sz w:val="28"/>
          <w:szCs w:val="28"/>
          <w:lang w:val="ru-RU"/>
        </w:rPr>
        <w:t xml:space="preserve"> </w:t>
      </w:r>
      <w:r>
        <w:rPr>
          <w:b w:val="false"/>
          <w:bCs/>
          <w:color w:val="000000"/>
          <w:sz w:val="28"/>
          <w:szCs w:val="28"/>
          <w:lang w:val="en-US"/>
        </w:rPr>
        <w:t>м</w:t>
      </w:r>
      <w:r>
        <w:rPr>
          <w:b w:val="false"/>
          <w:bCs/>
          <w:color w:val="000000"/>
          <w:sz w:val="28"/>
          <w:szCs w:val="28"/>
          <w:lang w:val="ru-RU"/>
        </w:rPr>
        <w:t xml:space="preserve">арта </w:t>
      </w:r>
      <w:r>
        <w:rPr>
          <w:b w:val="false"/>
          <w:bCs/>
          <w:color w:val="000000"/>
          <w:sz w:val="28"/>
          <w:szCs w:val="28"/>
        </w:rPr>
        <w:t>2022 года, т. е. своевременно. Отчет Заказчика об объеме закупок у СМП и СОНКО за 2022 год размещен в ЕИС 31 марта 2023 года, т.е. своевременно. Отчет об объеме закупок у СМП и СОНКО за 2023 год размещен в ЕИС 31 марта 2024 года т.е. своевременно (Приложение № 2).</w:t>
      </w:r>
    </w:p>
    <w:p>
      <w:pPr>
        <w:pStyle w:val="Normal"/>
        <w:widowControl/>
        <w:suppressAutoHyphens w:val="true"/>
        <w:bidi w:val="0"/>
        <w:spacing w:lineRule="auto" w:line="240" w:before="0" w:after="0"/>
        <w:ind w:left="0" w:right="0" w:firstLine="680"/>
        <w:jc w:val="both"/>
        <w:rPr/>
      </w:pPr>
      <w:r>
        <w:rPr>
          <w:b w:val="false"/>
          <w:bCs/>
          <w:color w:val="000000"/>
          <w:sz w:val="28"/>
          <w:szCs w:val="28"/>
        </w:rPr>
        <w:t>Частью 1 статьи 30 Закона № 44-ФЗ установлена обязанность заказчиков осуществлять закупки у СМП и СОНКО в объеме не менее чем 15 процентов (в редакции Закона № 44-ФЗ, действующей до 1 января 2022 г.) и не менее чем 25 процентов (в редакции Закона № 44-ФЗ, действующей после 1 января 2022 г.) совокупного годового объема закупок, рассчитанного с учетом части 1.1 указанной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СМП и СОНКО, а также осуществления закупок с учетом положений части 5 указанной статьи.</w:t>
      </w:r>
    </w:p>
    <w:p>
      <w:pPr>
        <w:pStyle w:val="Normal"/>
        <w:widowControl/>
        <w:suppressAutoHyphens w:val="true"/>
        <w:bidi w:val="0"/>
        <w:spacing w:lineRule="auto" w:line="240" w:before="0" w:after="0"/>
        <w:ind w:left="0" w:right="0" w:firstLine="680"/>
        <w:jc w:val="both"/>
        <w:rPr/>
      </w:pPr>
      <w:r>
        <w:rPr>
          <w:b w:val="false"/>
          <w:bCs/>
          <w:color w:val="000000"/>
          <w:sz w:val="28"/>
          <w:szCs w:val="28"/>
        </w:rPr>
        <w:t xml:space="preserve">Доля закупок, которые Заказчик осуществил у СМП и СОНКО в 2021 году </w:t>
      </w:r>
      <w:r>
        <w:rPr>
          <w:b w:val="false"/>
          <w:bCs/>
          <w:color w:val="000000"/>
          <w:sz w:val="28"/>
          <w:szCs w:val="28"/>
          <w:lang w:val="ru-RU"/>
        </w:rPr>
        <w:t>состав</w:t>
      </w:r>
      <w:r>
        <w:rPr>
          <w:b w:val="false"/>
          <w:bCs/>
          <w:color w:val="000000"/>
          <w:sz w:val="28"/>
          <w:szCs w:val="28"/>
          <w:lang w:val="en-US"/>
        </w:rPr>
        <w:t>и</w:t>
      </w:r>
      <w:r>
        <w:rPr>
          <w:b w:val="false"/>
          <w:bCs/>
          <w:color w:val="000000"/>
          <w:sz w:val="28"/>
          <w:szCs w:val="28"/>
          <w:lang w:val="ru-RU"/>
        </w:rPr>
        <w:t>ла</w:t>
      </w:r>
      <w:r>
        <w:rPr>
          <w:b w:val="false"/>
          <w:bCs/>
          <w:color w:val="000000"/>
          <w:sz w:val="28"/>
          <w:szCs w:val="28"/>
        </w:rPr>
        <w:t xml:space="preserve"> 100 процентов, в 2022 году составила 81,88657 процент</w:t>
      </w:r>
      <w:r>
        <w:rPr>
          <w:b w:val="false"/>
          <w:bCs/>
          <w:color w:val="000000"/>
          <w:sz w:val="28"/>
          <w:szCs w:val="28"/>
          <w:lang w:val="ru-RU"/>
        </w:rPr>
        <w:t>а</w:t>
      </w:r>
      <w:r>
        <w:rPr>
          <w:b w:val="false"/>
          <w:bCs/>
          <w:color w:val="000000"/>
          <w:sz w:val="28"/>
          <w:szCs w:val="28"/>
        </w:rPr>
        <w:t>, 2023 году составила 84,711</w:t>
      </w:r>
      <w:r>
        <w:rPr>
          <w:b w:val="false"/>
          <w:bCs/>
          <w:color w:val="000000"/>
          <w:sz w:val="28"/>
          <w:szCs w:val="28"/>
          <w:lang w:val="en-US"/>
        </w:rPr>
        <w:t>79</w:t>
      </w:r>
      <w:r>
        <w:rPr>
          <w:b w:val="false"/>
          <w:bCs/>
          <w:color w:val="000000"/>
          <w:sz w:val="28"/>
          <w:szCs w:val="28"/>
        </w:rPr>
        <w:t xml:space="preserve"> процента. Нарушений не установлено.</w:t>
      </w:r>
    </w:p>
    <w:p>
      <w:pPr>
        <w:pStyle w:val="Normal"/>
        <w:widowControl/>
        <w:suppressAutoHyphens w:val="true"/>
        <w:bidi w:val="0"/>
        <w:spacing w:lineRule="auto" w:line="240" w:before="0" w:after="0"/>
        <w:ind w:left="0" w:right="0" w:firstLine="680"/>
        <w:jc w:val="both"/>
        <w:rPr/>
      </w:pPr>
      <w:r>
        <w:rPr>
          <w:b w:val="false"/>
          <w:bCs/>
          <w:color w:val="000000"/>
          <w:sz w:val="28"/>
          <w:szCs w:val="28"/>
        </w:rPr>
        <w:t>В соответствии с частью 3 статьи 7 Закона № 44-ФЗ информация, предусмотренная указанным законом и размещенная в ЕИС, должна быть полной и достоверной.</w:t>
      </w:r>
    </w:p>
    <w:p>
      <w:pPr>
        <w:pStyle w:val="Normal"/>
        <w:widowControl/>
        <w:suppressAutoHyphens w:val="true"/>
        <w:bidi w:val="0"/>
        <w:spacing w:lineRule="auto" w:line="240" w:before="0" w:after="0"/>
        <w:ind w:left="0" w:right="0" w:firstLine="680"/>
        <w:jc w:val="both"/>
        <w:rPr/>
      </w:pPr>
      <w:r>
        <w:rPr>
          <w:b w:val="false"/>
          <w:bCs/>
          <w:color w:val="000000"/>
          <w:sz w:val="28"/>
          <w:szCs w:val="28"/>
        </w:rPr>
        <w:t>В соответствии с частью 4.1 статьи 30 Закона № 44-ФЗ, порядок подготовки Отчета об объеме закупок у СМП и СОНКО, его размещения в ЕИС, форма указанного отчета определяются Правительством Российской Федерации.</w:t>
      </w:r>
    </w:p>
    <w:p>
      <w:pPr>
        <w:pStyle w:val="Normal"/>
        <w:widowControl/>
        <w:suppressAutoHyphens w:val="true"/>
        <w:bidi w:val="0"/>
        <w:spacing w:lineRule="auto" w:line="240" w:before="0" w:after="0"/>
        <w:ind w:left="0" w:right="0" w:firstLine="680"/>
        <w:jc w:val="both"/>
        <w:rPr/>
      </w:pPr>
      <w:r>
        <w:rPr>
          <w:b w:val="false"/>
          <w:bCs/>
          <w:color w:val="000000"/>
          <w:sz w:val="28"/>
          <w:szCs w:val="28"/>
        </w:rPr>
        <w:t>В соответствии с пунктом 3 Правил подготовки Отчета об объеме закупок у СМП и СОНКО, его размещения в ЕИС, утвержденных постановлением Правительства РФ от 17.03.2015 № 238 (далее - Правила, Постановление № 238), подготовка отчета и его составление осуществляются по форме, утвержденной  Постановлением № 238, и в соответствии с требованиями к заполнению формы, являющимися приложением к выше указанным Правилам (далее-Требования).</w:t>
      </w:r>
    </w:p>
    <w:p>
      <w:pPr>
        <w:pStyle w:val="Normal"/>
        <w:widowControl/>
        <w:suppressAutoHyphens w:val="true"/>
        <w:bidi w:val="0"/>
        <w:spacing w:lineRule="auto" w:line="240" w:before="0" w:after="0"/>
        <w:ind w:left="0" w:right="0" w:firstLine="680"/>
        <w:jc w:val="both"/>
        <w:rPr/>
      </w:pPr>
      <w:r>
        <w:rPr>
          <w:b w:val="false"/>
          <w:bCs/>
          <w:color w:val="000000"/>
          <w:sz w:val="28"/>
          <w:szCs w:val="28"/>
        </w:rPr>
        <w:t>Согласно подпункту «а» пункта 2 Требований к заполнению формы Отчета об объеме закупок у СМП и СОНКО, в  позиции 1 раздела II, указывается совокупный годовой объем закупок заказчика за отчетный год, определенный в соответствии с пунктом 16 статьи 3 Закона № 44-ФЗ, за исключением объема закупок, сведения о которых составляют государственную тайну (в тыс. руб.).</w:t>
      </w:r>
    </w:p>
    <w:p>
      <w:pPr>
        <w:pStyle w:val="Normal"/>
        <w:widowControl/>
        <w:suppressAutoHyphens w:val="true"/>
        <w:bidi w:val="0"/>
        <w:spacing w:lineRule="auto" w:line="240" w:before="0" w:after="0"/>
        <w:ind w:left="0" w:right="0" w:firstLine="680"/>
        <w:jc w:val="both"/>
        <w:rPr/>
      </w:pPr>
      <w:r>
        <w:rPr>
          <w:b w:val="false"/>
          <w:bCs/>
          <w:color w:val="000000"/>
          <w:sz w:val="28"/>
          <w:szCs w:val="28"/>
        </w:rPr>
        <w:t>В Отчете об объеме закупок у СМП и СОНКО за 2022 год в  позиции 1 раздела II указана сумма 6 779,36506 тыс. рублей.</w:t>
      </w:r>
    </w:p>
    <w:p>
      <w:pPr>
        <w:pStyle w:val="Normal"/>
        <w:widowControl/>
        <w:suppressAutoHyphens w:val="true"/>
        <w:bidi w:val="0"/>
        <w:spacing w:lineRule="auto" w:line="240" w:before="0" w:after="0"/>
        <w:ind w:left="0" w:right="0" w:firstLine="680"/>
        <w:jc w:val="both"/>
        <w:rPr/>
      </w:pPr>
      <w:r>
        <w:rPr>
          <w:b w:val="false"/>
          <w:bCs/>
          <w:color w:val="000000"/>
          <w:sz w:val="28"/>
          <w:szCs w:val="28"/>
        </w:rPr>
        <w:t>В соответствии с Бюджетной сметой на 2022 финансовый год, утвержденно</w:t>
      </w:r>
      <w:r>
        <w:rPr>
          <w:b w:val="false"/>
          <w:bCs/>
          <w:color w:val="000000"/>
          <w:sz w:val="28"/>
          <w:szCs w:val="28"/>
          <w:lang w:val="ru-RU"/>
        </w:rPr>
        <w:t>й</w:t>
      </w:r>
      <w:r>
        <w:rPr>
          <w:b w:val="false"/>
          <w:bCs/>
          <w:color w:val="000000"/>
          <w:sz w:val="28"/>
          <w:szCs w:val="28"/>
        </w:rPr>
        <w:t xml:space="preserve"> начальником Управления образования Усть-Лабинский район Баженовой А.А.(далее — Учредитель) </w:t>
      </w:r>
      <w:r>
        <w:rPr>
          <w:b w:val="false"/>
          <w:bCs/>
          <w:color w:val="000000"/>
          <w:sz w:val="28"/>
          <w:szCs w:val="28"/>
          <w:lang w:val="en-US"/>
        </w:rPr>
        <w:t xml:space="preserve">15 </w:t>
      </w:r>
      <w:r>
        <w:rPr>
          <w:b w:val="false"/>
          <w:bCs/>
          <w:color w:val="000000"/>
          <w:sz w:val="28"/>
          <w:szCs w:val="28"/>
        </w:rPr>
        <w:t>декабря 202</w:t>
      </w:r>
      <w:r>
        <w:rPr>
          <w:b w:val="false"/>
          <w:bCs/>
          <w:color w:val="000000"/>
          <w:sz w:val="28"/>
          <w:szCs w:val="28"/>
          <w:lang w:val="en-US"/>
        </w:rPr>
        <w:t>2</w:t>
      </w:r>
      <w:r>
        <w:rPr>
          <w:b w:val="false"/>
          <w:bCs/>
          <w:color w:val="000000"/>
          <w:sz w:val="28"/>
          <w:szCs w:val="28"/>
        </w:rPr>
        <w:t xml:space="preserve"> года, совокупный годовой объем закупок в 2022 году составил 6 779,36506 тыс. рублей.</w:t>
      </w:r>
    </w:p>
    <w:p>
      <w:pPr>
        <w:pStyle w:val="Normal"/>
        <w:widowControl/>
        <w:suppressAutoHyphens w:val="true"/>
        <w:bidi w:val="0"/>
        <w:spacing w:lineRule="auto" w:line="240" w:before="0" w:after="0"/>
        <w:ind w:left="0" w:right="0" w:firstLine="680"/>
        <w:jc w:val="both"/>
        <w:rPr/>
      </w:pPr>
      <w:r>
        <w:rPr>
          <w:b w:val="false"/>
          <w:bCs/>
          <w:color w:val="000000"/>
          <w:sz w:val="28"/>
          <w:szCs w:val="28"/>
        </w:rPr>
        <w:t>Согласно подпункту «б» пункта 2 Требований к заполнению формы Отчета об объеме закупок у СМП и СОНКО, в позиции 2 раздела II в абзаце первом указывается общий объем финансового обеспечения для оплаты контрактов в отчетном году в рамках осуществления закупок, не подлежащих в соответствии с Законом № 44-ФЗ включению в расчет совокупного годового объема закупок заказчика при определении объема закупок, который заказчик обязан осуществить у субъектов малого предпринимательства и социально ориентированных некоммерческих организаций, рассчитанный как сумма значений, предусмотренных абзацами вторым - шестым указанной позиции (тыс. рублей).</w:t>
      </w:r>
    </w:p>
    <w:p>
      <w:pPr>
        <w:pStyle w:val="Normal"/>
        <w:widowControl/>
        <w:suppressAutoHyphens w:val="true"/>
        <w:bidi w:val="0"/>
        <w:spacing w:lineRule="auto" w:line="240" w:before="0" w:after="0"/>
        <w:ind w:left="0" w:right="0" w:firstLine="680"/>
        <w:jc w:val="both"/>
        <w:rPr/>
      </w:pPr>
      <w:r>
        <w:rPr>
          <w:b w:val="false"/>
          <w:bCs/>
          <w:color w:val="000000"/>
          <w:sz w:val="28"/>
          <w:szCs w:val="28"/>
        </w:rPr>
        <w:t>Так, в Отчете об объеме закупок у СМП и СОНКО за 2022 год в  позиции 2 раздела II в абзаце первом указана сумма 6 263,71294 тыс. рублей.</w:t>
      </w:r>
    </w:p>
    <w:p>
      <w:pPr>
        <w:pStyle w:val="Normal"/>
        <w:widowControl/>
        <w:suppressAutoHyphens w:val="true"/>
        <w:bidi w:val="0"/>
        <w:spacing w:lineRule="auto" w:line="240" w:before="0" w:after="0"/>
        <w:ind w:left="0" w:right="0" w:firstLine="680"/>
        <w:jc w:val="both"/>
        <w:rPr/>
      </w:pPr>
      <w:r>
        <w:rPr>
          <w:b w:val="false"/>
          <w:bCs/>
          <w:color w:val="000000"/>
          <w:sz w:val="28"/>
          <w:szCs w:val="28"/>
        </w:rPr>
        <w:t>Тогда как, в рамках осуществления закупок по части 1 статьи 93 Закона           № 44-ФЗ в реестре контрактов, заключенных с единственным поставщиком, объем финансового обеспечения на осуществление закупок составил                                     6 149,64995 тыс. рублей. Разница составила 114,06299 тыс. рублей.</w:t>
      </w:r>
    </w:p>
    <w:p>
      <w:pPr>
        <w:pStyle w:val="Normal"/>
        <w:widowControl/>
        <w:suppressAutoHyphens w:val="true"/>
        <w:bidi w:val="0"/>
        <w:spacing w:lineRule="auto" w:line="240" w:before="0" w:after="0"/>
        <w:ind w:left="0" w:right="0" w:firstLine="680"/>
        <w:jc w:val="both"/>
        <w:rPr/>
      </w:pPr>
      <w:r>
        <w:rPr>
          <w:b w:val="false"/>
          <w:bCs/>
          <w:color w:val="000000"/>
          <w:sz w:val="28"/>
          <w:szCs w:val="28"/>
        </w:rPr>
        <w:t xml:space="preserve">Согласно подпункту «в» пункта 2 Требований к заполнению формы Отчета об объеме закупок у СМП и СОНКО в позиции 3 раздела II, указывается совокупный годовой объем закупок, рассчитанный за вычетом закупок, не подлежащих в соответствии с Законом № 44-ФЗ включению в расчет совокупного годового объема закупок заказчика при определении объема закупок, который заказчик обязан осуществить у субъектов малого предпринимательства и социально ориентированных некоммерческих организаций, как разница между совокупным годовым объемом закупок заказчика за отчетный год, указанным в подпункте «а» настоящего пункта, и общим объемом финансового обеспечения для оплаты контрактов в отчетном году, указанным в подпункте «б» настоящего пункта      (тыс. рублей). </w:t>
      </w:r>
    </w:p>
    <w:p>
      <w:pPr>
        <w:pStyle w:val="Normal"/>
        <w:widowControl/>
        <w:suppressAutoHyphens w:val="true"/>
        <w:bidi w:val="0"/>
        <w:spacing w:lineRule="auto" w:line="240" w:before="0" w:after="0"/>
        <w:ind w:left="0" w:right="0" w:firstLine="680"/>
        <w:jc w:val="both"/>
        <w:rPr/>
      </w:pPr>
      <w:r>
        <w:rPr>
          <w:b w:val="false"/>
          <w:bCs/>
          <w:color w:val="000000"/>
          <w:sz w:val="28"/>
          <w:szCs w:val="28"/>
        </w:rPr>
        <w:t xml:space="preserve">В Отчете об объеме закупок у СМП и СОНКО за 2022 год в позиции 3 раздела II указана сумма 515,65212 тыс. рублей. </w:t>
      </w:r>
    </w:p>
    <w:p>
      <w:pPr>
        <w:pStyle w:val="Normal"/>
        <w:widowControl/>
        <w:suppressAutoHyphens w:val="true"/>
        <w:bidi w:val="0"/>
        <w:spacing w:lineRule="auto" w:line="240" w:before="0" w:after="0"/>
        <w:ind w:left="0" w:right="0" w:firstLine="680"/>
        <w:jc w:val="both"/>
        <w:rPr/>
      </w:pPr>
      <w:r>
        <w:rPr>
          <w:b w:val="false"/>
          <w:bCs/>
          <w:color w:val="000000"/>
          <w:sz w:val="28"/>
          <w:szCs w:val="28"/>
        </w:rPr>
        <w:t>Однако, учитывая показатели Бюджетной сметы на 2022 год и показатели реестра контрактов, заключенных с единственным поставщиком, сумма, которую следовало отразить в позиции 3 раздела II, должна                                                           составить 629,71511 тыс. рублей. Разница составила 114, 06299 тыс. рублей.</w:t>
      </w:r>
    </w:p>
    <w:p>
      <w:pPr>
        <w:pStyle w:val="Normal"/>
        <w:widowControl/>
        <w:suppressAutoHyphens w:val="true"/>
        <w:bidi w:val="0"/>
        <w:spacing w:lineRule="auto" w:line="240" w:before="0" w:after="0"/>
        <w:ind w:left="0" w:right="0" w:firstLine="680"/>
        <w:jc w:val="both"/>
        <w:rPr/>
      </w:pPr>
      <w:r>
        <w:rPr>
          <w:b w:val="false"/>
          <w:bCs/>
          <w:color w:val="000000"/>
          <w:sz w:val="28"/>
          <w:szCs w:val="28"/>
        </w:rPr>
        <w:t>Согласно подпункту «г» пункта 2 Требований к заполнению формы Отчета об объеме закупок у СМП и СОНКО в позиции 4 раздела II указывается объем закупок, который заказчик обязан в соответствии с частью 1 статьи 30 Закона        № 44-ФЗ осуществить у субъектов малого предпринимательства и социально ориентированных некоммерческих организаций в отчетном году (тыс. рублей).</w:t>
      </w:r>
    </w:p>
    <w:p>
      <w:pPr>
        <w:pStyle w:val="Normal"/>
        <w:widowControl/>
        <w:suppressAutoHyphens w:val="true"/>
        <w:bidi w:val="0"/>
        <w:spacing w:lineRule="auto" w:line="240" w:before="0" w:after="0"/>
        <w:ind w:left="0" w:right="0" w:firstLine="680"/>
        <w:jc w:val="both"/>
        <w:rPr/>
      </w:pPr>
      <w:r>
        <w:rPr>
          <w:b w:val="false"/>
          <w:bCs/>
          <w:color w:val="000000"/>
          <w:sz w:val="28"/>
          <w:szCs w:val="28"/>
        </w:rPr>
        <w:t>В Отчете об объеме закупок у СМП и СОНКО за 2022 год указана сумма в позиции 4  раздела II в размере 128,91303 тыс. рублей.</w:t>
      </w:r>
    </w:p>
    <w:p>
      <w:pPr>
        <w:pStyle w:val="Normal"/>
        <w:widowControl/>
        <w:suppressAutoHyphens w:val="true"/>
        <w:bidi w:val="0"/>
        <w:spacing w:lineRule="auto" w:line="240" w:before="0" w:after="0"/>
        <w:ind w:left="0" w:right="0" w:firstLine="680"/>
        <w:jc w:val="both"/>
        <w:rPr/>
      </w:pPr>
      <w:r>
        <w:rPr>
          <w:b w:val="false"/>
          <w:bCs/>
          <w:color w:val="000000"/>
          <w:sz w:val="28"/>
          <w:szCs w:val="28"/>
        </w:rPr>
        <w:t>Учитывая показатели позиции 3 раздела II, в позиции 4  раздела II следовало указать сумму 157,42877 тыс. рублей. Разница составила 28,51574 тыс. рублей.</w:t>
      </w:r>
    </w:p>
    <w:p>
      <w:pPr>
        <w:pStyle w:val="Normal"/>
        <w:widowControl/>
        <w:suppressAutoHyphens w:val="true"/>
        <w:bidi w:val="0"/>
        <w:spacing w:lineRule="auto" w:line="240" w:before="0" w:after="0"/>
        <w:ind w:left="0" w:right="0" w:firstLine="680"/>
        <w:jc w:val="both"/>
        <w:rPr/>
      </w:pPr>
      <w:r>
        <w:rPr>
          <w:b w:val="false"/>
          <w:bCs/>
          <w:color w:val="000000"/>
          <w:sz w:val="28"/>
          <w:szCs w:val="28"/>
        </w:rPr>
        <w:t>Согласно подпункту «д» пункта 2 Требований к заполнению формы Отчета об объеме закупок у СМП и СОНКО в позиции 5 раздела II указывается объем закупок, рассчитываемый как сумма денежных средств, подлежащих оплате в отчетном финансовом году, по контрактам, заключенным в отчетном финансовом году, а также до начала отчетного финансового года по результатам определения поставщиков (подрядчиков, исполнителей), проведенного в соответствии с требованиями пункта 1 части 1 статьи 30 Закона № 44-ФЗ (тыс. рублей).</w:t>
      </w:r>
    </w:p>
    <w:p>
      <w:pPr>
        <w:pStyle w:val="Normal"/>
        <w:widowControl/>
        <w:suppressAutoHyphens w:val="true"/>
        <w:bidi w:val="0"/>
        <w:spacing w:lineRule="auto" w:line="240" w:before="0" w:after="0"/>
        <w:ind w:left="0" w:right="0" w:firstLine="680"/>
        <w:jc w:val="both"/>
        <w:rPr/>
      </w:pPr>
      <w:r>
        <w:rPr>
          <w:b w:val="false"/>
          <w:bCs/>
          <w:color w:val="000000"/>
          <w:sz w:val="28"/>
          <w:szCs w:val="28"/>
        </w:rPr>
        <w:t>В Отчете об объеме закупок у СМП и СОНКО за 202</w:t>
      </w:r>
      <w:r>
        <w:rPr>
          <w:b w:val="false"/>
          <w:bCs/>
          <w:color w:val="000000"/>
          <w:sz w:val="28"/>
          <w:szCs w:val="28"/>
          <w:lang w:val="en-US"/>
        </w:rPr>
        <w:t>2</w:t>
      </w:r>
      <w:r>
        <w:rPr>
          <w:b w:val="false"/>
          <w:bCs/>
          <w:color w:val="000000"/>
          <w:sz w:val="28"/>
          <w:szCs w:val="28"/>
        </w:rPr>
        <w:t xml:space="preserve"> год Учреждением указана сумма в позиции 5 раздела II в размере </w:t>
      </w:r>
      <w:r>
        <w:rPr>
          <w:b w:val="false"/>
          <w:bCs/>
          <w:color w:val="000000"/>
          <w:sz w:val="28"/>
          <w:szCs w:val="28"/>
          <w:lang w:val="en-US"/>
        </w:rPr>
        <w:t>515,</w:t>
      </w:r>
      <w:r>
        <w:rPr>
          <w:b w:val="false"/>
          <w:bCs/>
          <w:color w:val="000000"/>
          <w:sz w:val="28"/>
          <w:szCs w:val="28"/>
          <w:lang w:val="ru-RU"/>
        </w:rPr>
        <w:t xml:space="preserve">65212 </w:t>
      </w:r>
      <w:r>
        <w:rPr>
          <w:b w:val="false"/>
          <w:bCs/>
          <w:color w:val="000000"/>
          <w:sz w:val="28"/>
          <w:szCs w:val="28"/>
        </w:rPr>
        <w:t>тыс. рублей, что соответствует реестру контрактов, заключенных путем проведения электронных аукционов.</w:t>
      </w:r>
    </w:p>
    <w:p>
      <w:pPr>
        <w:pStyle w:val="Normal"/>
        <w:widowControl/>
        <w:suppressAutoHyphens w:val="true"/>
        <w:bidi w:val="0"/>
        <w:spacing w:lineRule="auto" w:line="240" w:before="0" w:after="0"/>
        <w:ind w:left="0" w:right="0" w:firstLine="680"/>
        <w:jc w:val="both"/>
        <w:rPr/>
      </w:pPr>
      <w:r>
        <w:rPr>
          <w:b w:val="false"/>
          <w:bCs/>
          <w:color w:val="000000"/>
          <w:sz w:val="28"/>
          <w:szCs w:val="28"/>
        </w:rPr>
        <w:t>Согласно подпункту «ж» пункта 2 Требований к заполнению формы Отчета об объеме закупок у СМП и СОНКО в позиции 7 раздела II указывается объем закупок, который заказчик осуществил у СМП и СОНКО в отчетном году, рассчитанный как сумма значений объемов, указанных в позициях 5 и 6              (тыс. рублей).</w:t>
      </w:r>
    </w:p>
    <w:p>
      <w:pPr>
        <w:pStyle w:val="Normal"/>
        <w:widowControl/>
        <w:suppressAutoHyphens w:val="true"/>
        <w:bidi w:val="0"/>
        <w:spacing w:lineRule="auto" w:line="240" w:before="0" w:after="0"/>
        <w:ind w:left="0" w:right="0" w:firstLine="680"/>
        <w:jc w:val="both"/>
        <w:rPr/>
      </w:pPr>
      <w:r>
        <w:rPr>
          <w:b w:val="false"/>
          <w:bCs/>
          <w:color w:val="000000"/>
          <w:sz w:val="28"/>
          <w:szCs w:val="28"/>
        </w:rPr>
        <w:t>В Отчете об объеме закупок у СМП и СОНКО за 2022 год указана сумма в позиции 7 раздела II в размере 515,65212 тыс. рублей.</w:t>
      </w:r>
    </w:p>
    <w:p>
      <w:pPr>
        <w:pStyle w:val="Normal"/>
        <w:widowControl/>
        <w:suppressAutoHyphens w:val="true"/>
        <w:bidi w:val="0"/>
        <w:spacing w:lineRule="auto" w:line="240" w:before="0" w:after="0"/>
        <w:ind w:left="0" w:right="0" w:firstLine="680"/>
        <w:jc w:val="both"/>
        <w:rPr/>
      </w:pPr>
      <w:r>
        <w:rPr>
          <w:b w:val="false"/>
          <w:bCs/>
          <w:color w:val="000000"/>
          <w:sz w:val="28"/>
          <w:szCs w:val="28"/>
        </w:rPr>
        <w:t>Согласно подпункту «з» пункта 2 Требований к заполнению формы Отчета об объеме закупок у СМП и СОНКО в позиции 8 раздела II указывается доля закупок, которые заказчик осуществил у субъектов малого предпринимательства и социально ориентированных некоммерческих организаций в отчетном году, рассчитанная как процентная доля объема закупок, указанного в позиции 7, по отношению к совокупному годовому объему закупок, рассчитанному с учетом части 1.1 статьи 30 Закона № 44-ФЗ и указанному в позиции 3 (%).</w:t>
      </w:r>
    </w:p>
    <w:p>
      <w:pPr>
        <w:pStyle w:val="Normal"/>
        <w:widowControl/>
        <w:suppressAutoHyphens w:val="true"/>
        <w:bidi w:val="0"/>
        <w:spacing w:lineRule="auto" w:line="240" w:before="0" w:after="0"/>
        <w:ind w:left="0" w:right="0" w:firstLine="680"/>
        <w:jc w:val="both"/>
        <w:rPr/>
      </w:pPr>
      <w:r>
        <w:rPr>
          <w:b w:val="false"/>
          <w:bCs/>
          <w:color w:val="000000"/>
          <w:sz w:val="28"/>
          <w:szCs w:val="28"/>
        </w:rPr>
        <w:t>В Отчете об объеме закупок у СМП и СОНКО за 2022 год в позиции 8 раздела II указан показатель 100,00 процентов, тогда как следовало указать долю закупок, которые Заказчик фактически осуществил у СМП и СОНКО в 2022 году в размере 81,88657 процента.</w:t>
      </w:r>
    </w:p>
    <w:p>
      <w:pPr>
        <w:pStyle w:val="Normal"/>
        <w:widowControl/>
        <w:suppressAutoHyphens w:val="true"/>
        <w:bidi w:val="0"/>
        <w:spacing w:lineRule="auto" w:line="240" w:before="0" w:after="0"/>
        <w:ind w:left="0" w:right="0" w:firstLine="680"/>
        <w:jc w:val="both"/>
        <w:rPr/>
      </w:pPr>
      <w:r>
        <w:rPr>
          <w:b w:val="false"/>
          <w:bCs/>
          <w:color w:val="000000"/>
          <w:sz w:val="28"/>
          <w:szCs w:val="28"/>
        </w:rPr>
        <w:t>В указанном нарушении усматриваются признаки административного правонарушения, предусмотренного частью 3 статьи 7.30 кодекса Российской Федерации об административных правонарушениях  (далее - КоАП РФ).</w:t>
      </w:r>
    </w:p>
    <w:p>
      <w:pPr>
        <w:pStyle w:val="Normal"/>
        <w:widowControl/>
        <w:suppressAutoHyphens w:val="true"/>
        <w:bidi w:val="0"/>
        <w:spacing w:lineRule="auto" w:line="240" w:before="0" w:after="0"/>
        <w:ind w:left="0" w:right="0" w:firstLine="680"/>
        <w:jc w:val="both"/>
        <w:rPr/>
      </w:pPr>
      <w:r>
        <w:rPr>
          <w:b w:val="false"/>
          <w:bCs/>
          <w:color w:val="000000"/>
          <w:sz w:val="28"/>
          <w:szCs w:val="28"/>
        </w:rPr>
        <w:t xml:space="preserve">Вместе с тем, на основании части 1 статьи 4.5 КоАП РФ постановление по делу об административном правонарушении за нарушение законодательства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частью 7 статьи 19.5, статьей 19.7.2 КоАП РФ) не может быть вынесено по истечении одного года со дня совершения административного правонарушения. </w:t>
      </w:r>
    </w:p>
    <w:p>
      <w:pPr>
        <w:pStyle w:val="Normal"/>
        <w:widowControl/>
        <w:suppressAutoHyphens w:val="true"/>
        <w:bidi w:val="0"/>
        <w:spacing w:lineRule="auto" w:line="240" w:before="0" w:after="0"/>
        <w:ind w:left="0" w:right="0" w:firstLine="680"/>
        <w:jc w:val="both"/>
        <w:rPr/>
      </w:pPr>
      <w:r>
        <w:rPr>
          <w:b w:val="false"/>
          <w:bCs/>
          <w:color w:val="000000"/>
          <w:sz w:val="28"/>
          <w:szCs w:val="28"/>
        </w:rPr>
        <w:t>В Отчете об объеме закупок у СМП и СОНКО за 202</w:t>
      </w:r>
      <w:r>
        <w:rPr>
          <w:b w:val="false"/>
          <w:bCs/>
          <w:color w:val="000000"/>
          <w:sz w:val="28"/>
          <w:szCs w:val="28"/>
          <w:lang w:val="en-US"/>
        </w:rPr>
        <w:t>3</w:t>
      </w:r>
      <w:r>
        <w:rPr>
          <w:b w:val="false"/>
          <w:bCs/>
          <w:color w:val="000000"/>
          <w:sz w:val="28"/>
          <w:szCs w:val="28"/>
        </w:rPr>
        <w:t xml:space="preserve"> год в  позиции 1 раздела II указана сумма 6</w:t>
      </w:r>
      <w:r>
        <w:rPr>
          <w:b w:val="false"/>
          <w:bCs/>
          <w:color w:val="000000"/>
          <w:sz w:val="28"/>
          <w:szCs w:val="28"/>
          <w:lang w:val="en-US"/>
        </w:rPr>
        <w:t xml:space="preserve"> 071,72588 </w:t>
      </w:r>
      <w:r>
        <w:rPr>
          <w:b w:val="false"/>
          <w:bCs/>
          <w:color w:val="000000"/>
          <w:sz w:val="28"/>
          <w:szCs w:val="28"/>
        </w:rPr>
        <w:t>тыс. рублей.</w:t>
      </w:r>
    </w:p>
    <w:p>
      <w:pPr>
        <w:pStyle w:val="Normal"/>
        <w:widowControl/>
        <w:suppressAutoHyphens w:val="true"/>
        <w:bidi w:val="0"/>
        <w:spacing w:lineRule="auto" w:line="240" w:before="0" w:after="0"/>
        <w:ind w:left="0" w:right="0" w:firstLine="680"/>
        <w:jc w:val="both"/>
        <w:rPr/>
      </w:pPr>
      <w:r>
        <w:rPr>
          <w:b w:val="false"/>
          <w:bCs/>
          <w:color w:val="000000"/>
          <w:sz w:val="28"/>
          <w:szCs w:val="28"/>
        </w:rPr>
        <w:t>В соответствии с Бюджетной сметой на 2023 финансовый год, утвержденной Учредителем 29 декабря 2023 года, совокупный годовой объем закупок в 2023 году составил 6 071,72588 тыс. рублей (Приложение № 3).</w:t>
      </w:r>
    </w:p>
    <w:p>
      <w:pPr>
        <w:pStyle w:val="Normal"/>
        <w:widowControl/>
        <w:suppressAutoHyphens w:val="true"/>
        <w:bidi w:val="0"/>
        <w:spacing w:lineRule="auto" w:line="240" w:before="0" w:after="0"/>
        <w:ind w:left="0" w:right="0" w:firstLine="680"/>
        <w:jc w:val="both"/>
        <w:rPr/>
      </w:pPr>
      <w:r>
        <w:rPr>
          <w:b w:val="false"/>
          <w:bCs/>
          <w:color w:val="000000"/>
          <w:sz w:val="28"/>
          <w:szCs w:val="28"/>
        </w:rPr>
        <w:t>Согласно подпункту «б» пункта 2 Требований к заполнению формы Отчета об объеме закупок у СМП и СОНКО, в позиции 2 раздела II в абзаце первом указывается общий объем финансового обеспечения для оплаты контрактов в отчетном году в рамках осуществления закупок, не подлежащих в соответствии с Законом № 44-ФЗ включению в расчет совокупного годового объема закупок заказчика при определении объема закупок, который заказчик обязан осуществить у субъектов малого предпринимательства и социально ориентированных некоммерческих организаций, рассчитанный как сумма значений, предусмотренных абзацами вторым - шестым указанной позиции (тыс. рублей).</w:t>
      </w:r>
    </w:p>
    <w:p>
      <w:pPr>
        <w:pStyle w:val="Normal"/>
        <w:widowControl/>
        <w:suppressAutoHyphens w:val="true"/>
        <w:bidi w:val="0"/>
        <w:spacing w:lineRule="auto" w:line="240" w:before="0" w:after="0"/>
        <w:ind w:left="0" w:right="0" w:firstLine="680"/>
        <w:jc w:val="both"/>
        <w:rPr/>
      </w:pPr>
      <w:r>
        <w:rPr>
          <w:b w:val="false"/>
          <w:bCs/>
          <w:color w:val="000000"/>
          <w:sz w:val="28"/>
          <w:szCs w:val="28"/>
        </w:rPr>
        <w:t>В Отчете об объеме закупок у СМП и СОНКО за 2023 год в  позиции 2 раздела II в абзаце первом указана сумма 5 518,21293 тыс. рублей.</w:t>
      </w:r>
    </w:p>
    <w:p>
      <w:pPr>
        <w:pStyle w:val="Normal"/>
        <w:widowControl/>
        <w:suppressAutoHyphens w:val="true"/>
        <w:bidi w:val="0"/>
        <w:spacing w:lineRule="auto" w:line="240" w:before="0" w:after="0"/>
        <w:ind w:left="0" w:right="0" w:firstLine="680"/>
        <w:jc w:val="both"/>
        <w:rPr/>
      </w:pPr>
      <w:r>
        <w:rPr>
          <w:b w:val="false"/>
          <w:bCs/>
          <w:color w:val="000000"/>
          <w:sz w:val="28"/>
          <w:szCs w:val="28"/>
        </w:rPr>
        <w:t>Тогда как, в рамках осуществления закупок по части 1 статьи 93 Закона           № 44-ФЗ в реестре контрактов, заключенных с единственным поставщиком объем финансового обеспечения на осуществление закупок составил                                      5 418,31873 тыс. рублей (Приложение № 4). Разница составила 99,8942 тыс. рублей.</w:t>
      </w:r>
    </w:p>
    <w:p>
      <w:pPr>
        <w:pStyle w:val="Normal"/>
        <w:widowControl/>
        <w:suppressAutoHyphens w:val="true"/>
        <w:bidi w:val="0"/>
        <w:spacing w:lineRule="auto" w:line="240" w:before="0" w:after="0"/>
        <w:ind w:left="0" w:right="0" w:firstLine="680"/>
        <w:jc w:val="both"/>
        <w:rPr/>
      </w:pPr>
      <w:r>
        <w:rPr>
          <w:b w:val="false"/>
          <w:bCs/>
          <w:color w:val="000000"/>
          <w:sz w:val="28"/>
          <w:szCs w:val="28"/>
        </w:rPr>
        <w:t xml:space="preserve">Согласно подпункту «в» пункта 2 Требований к заполнению формы Отчета об объеме закупок у СМП и СОНКО в позиции 3 раздела II, указывается совокупный годовой объем закупок, рассчитанный за вычетом закупок, не подлежащих в соответствии с Законом № 44-ФЗ включению в расчет совокупного годового объема закупок заказчика при определении объема закупок, который заказчик обязан осуществить у субъектов малого предпринимательства и социально ориентированных некоммерческих организаций, как разница между совокупным годовым объемом закупок заказчика за отчетный год, указанным в подпункте «а» настоящего пункта, и общим объемом финансового обеспечения для оплаты контрактов в отчетном году, указанным в подпункте «б» настоящего пункта      (тыс. рублей). </w:t>
      </w:r>
    </w:p>
    <w:p>
      <w:pPr>
        <w:pStyle w:val="Normal"/>
        <w:widowControl/>
        <w:suppressAutoHyphens w:val="true"/>
        <w:bidi w:val="0"/>
        <w:spacing w:lineRule="auto" w:line="240" w:before="0" w:after="0"/>
        <w:ind w:left="0" w:right="0" w:firstLine="680"/>
        <w:jc w:val="both"/>
        <w:rPr/>
      </w:pPr>
      <w:r>
        <w:rPr>
          <w:b w:val="false"/>
          <w:bCs/>
          <w:color w:val="000000"/>
          <w:sz w:val="28"/>
          <w:szCs w:val="28"/>
        </w:rPr>
        <w:t xml:space="preserve">Фактически в Отчете об объеме закупок у СМП и СОНКО за 2023 год в позиции 3 раздела II указана сумма 553,51295 тыс. рублей. </w:t>
      </w:r>
    </w:p>
    <w:p>
      <w:pPr>
        <w:pStyle w:val="Normal"/>
        <w:widowControl/>
        <w:suppressAutoHyphens w:val="true"/>
        <w:bidi w:val="0"/>
        <w:spacing w:lineRule="auto" w:line="240" w:before="0" w:after="0"/>
        <w:ind w:left="0" w:right="0" w:firstLine="680"/>
        <w:jc w:val="both"/>
        <w:rPr/>
      </w:pPr>
      <w:r>
        <w:rPr>
          <w:b w:val="false"/>
          <w:bCs/>
          <w:color w:val="000000"/>
          <w:sz w:val="28"/>
          <w:szCs w:val="28"/>
        </w:rPr>
        <w:t>Однако, учитывая показатели Бюджетной сметы на 2023 год и показатели реестра контрактов, заключенных с единственным поставщиком, сумма, которую следовало отразить в позиции 3 раздела II, должна                                                          составить 653,40715 тыс. рублей. Разница составила 99,8942 тыс. рублей.</w:t>
      </w:r>
    </w:p>
    <w:p>
      <w:pPr>
        <w:pStyle w:val="Normal"/>
        <w:widowControl/>
        <w:suppressAutoHyphens w:val="true"/>
        <w:bidi w:val="0"/>
        <w:spacing w:lineRule="auto" w:line="240" w:before="0" w:after="0"/>
        <w:ind w:left="0" w:right="0" w:firstLine="680"/>
        <w:jc w:val="both"/>
        <w:rPr/>
      </w:pPr>
      <w:r>
        <w:rPr>
          <w:b w:val="false"/>
          <w:bCs/>
          <w:color w:val="000000"/>
          <w:sz w:val="28"/>
          <w:szCs w:val="28"/>
        </w:rPr>
        <w:t>Согласно подпункту «г» пункта 2 Требований к заполнению формы Отчета об объеме закупок у СМП и СОНКО в позиции 4 раздела II указывается объем закупок, который заказчик обязан в соответствии с частью 1 статьи 30 Закона        № 44-ФЗ осуществить у субъектов малого предпринимательства и социально ориентированных некоммерческих организаций в отчетном году (тыс. рублей).</w:t>
      </w:r>
    </w:p>
    <w:p>
      <w:pPr>
        <w:pStyle w:val="Normal"/>
        <w:widowControl/>
        <w:suppressAutoHyphens w:val="true"/>
        <w:bidi w:val="0"/>
        <w:spacing w:lineRule="auto" w:line="240" w:before="0" w:after="0"/>
        <w:ind w:left="0" w:right="0" w:firstLine="680"/>
        <w:jc w:val="both"/>
        <w:rPr/>
      </w:pPr>
      <w:r>
        <w:rPr>
          <w:b w:val="false"/>
          <w:bCs/>
          <w:color w:val="000000"/>
          <w:sz w:val="28"/>
          <w:szCs w:val="28"/>
        </w:rPr>
        <w:t>В Отчете об объеме закупок у СМП и СОНКО за 2023 год указана сумма в позиции 4  раздела II в размере 138,37824 тыс. рублей.</w:t>
      </w:r>
    </w:p>
    <w:p>
      <w:pPr>
        <w:pStyle w:val="Normal"/>
        <w:widowControl/>
        <w:suppressAutoHyphens w:val="true"/>
        <w:bidi w:val="0"/>
        <w:spacing w:lineRule="auto" w:line="240" w:before="0" w:after="0"/>
        <w:ind w:left="0" w:right="0" w:firstLine="680"/>
        <w:jc w:val="both"/>
        <w:rPr/>
      </w:pPr>
      <w:r>
        <w:rPr>
          <w:b w:val="false"/>
          <w:bCs/>
          <w:color w:val="000000"/>
          <w:sz w:val="28"/>
          <w:szCs w:val="28"/>
        </w:rPr>
        <w:t>Учитывая показатели позиции 3 раздела II, в позиции 4  раздела II следовало указать сумму 163,35178 тыс. рублей. Разница составила 24,97354 тыс. рублей.</w:t>
      </w:r>
    </w:p>
    <w:p>
      <w:pPr>
        <w:pStyle w:val="Normal"/>
        <w:widowControl/>
        <w:suppressAutoHyphens w:val="true"/>
        <w:bidi w:val="0"/>
        <w:spacing w:lineRule="auto" w:line="240" w:before="0" w:after="0"/>
        <w:ind w:left="0" w:right="0" w:firstLine="680"/>
        <w:jc w:val="both"/>
        <w:rPr/>
      </w:pPr>
      <w:r>
        <w:rPr>
          <w:b w:val="false"/>
          <w:bCs/>
          <w:color w:val="000000"/>
          <w:sz w:val="28"/>
          <w:szCs w:val="28"/>
        </w:rPr>
        <w:t>Согласно подпункту «д» пункта 2 Требований к заполнению формы Отчета об объеме закупок у СМП и СОНКО в позиции 5 раздела II указывается объем закупок, рассчитываемый как сумма денежных средств, подлежащих оплате в отчетном финансовом году, по контрактам, заключенным в отчетном финансовом году, а также до начала отчетного финансового года по результатам определения поставщиков (подрядчиков, исполнителей), проведенного в соответствии с требованиями пункта 1 части 1 статьи 30 Закона № 44-ФЗ (тыс. рублей).</w:t>
      </w:r>
    </w:p>
    <w:p>
      <w:pPr>
        <w:pStyle w:val="Normal"/>
        <w:widowControl/>
        <w:suppressAutoHyphens w:val="true"/>
        <w:bidi w:val="0"/>
        <w:spacing w:lineRule="auto" w:line="240" w:before="0" w:after="0"/>
        <w:ind w:left="0" w:right="0" w:firstLine="680"/>
        <w:jc w:val="both"/>
        <w:rPr/>
      </w:pPr>
      <w:r>
        <w:rPr>
          <w:b w:val="false"/>
          <w:bCs/>
          <w:color w:val="000000"/>
          <w:sz w:val="28"/>
          <w:szCs w:val="28"/>
        </w:rPr>
        <w:t>Так, в Отчете об объеме закупок у СМП и СОНКО за 2023 год Учреждением указана сумма в позиции 5 раздела II в размере 553,51295 тыс. рублей, что соответствует реестру контрактов, заключенных путем проведения электронных аукционов (Приложение № 5).</w:t>
      </w:r>
    </w:p>
    <w:p>
      <w:pPr>
        <w:pStyle w:val="Normal"/>
        <w:widowControl/>
        <w:suppressAutoHyphens w:val="true"/>
        <w:bidi w:val="0"/>
        <w:spacing w:lineRule="auto" w:line="240" w:before="0" w:after="0"/>
        <w:ind w:left="0" w:right="0" w:firstLine="680"/>
        <w:jc w:val="both"/>
        <w:rPr/>
      </w:pPr>
      <w:r>
        <w:rPr>
          <w:b w:val="false"/>
          <w:bCs/>
          <w:color w:val="000000"/>
          <w:sz w:val="28"/>
          <w:szCs w:val="28"/>
        </w:rPr>
        <w:t>Согласно подпункту «ж» пункта 2 Требований к заполнению формы Отчета об объеме закупок у СМП и СОНКО в позиции 7 раздела II указывается объем закупок, который заказчик осуществил у СМП и СОНКО в отчетном году, рассчитанный как сумма значений объемов, указанных в позициях 5 и 6              (тыс. рублей).</w:t>
      </w:r>
    </w:p>
    <w:p>
      <w:pPr>
        <w:pStyle w:val="Normal"/>
        <w:widowControl/>
        <w:suppressAutoHyphens w:val="true"/>
        <w:bidi w:val="0"/>
        <w:spacing w:lineRule="auto" w:line="240" w:before="0" w:after="0"/>
        <w:ind w:left="0" w:right="0" w:firstLine="680"/>
        <w:jc w:val="both"/>
        <w:rPr/>
      </w:pPr>
      <w:r>
        <w:rPr>
          <w:b w:val="false"/>
          <w:bCs/>
          <w:color w:val="000000"/>
          <w:sz w:val="28"/>
          <w:szCs w:val="28"/>
        </w:rPr>
        <w:t>Фактически в Отчете об объеме закупок у СМП и СОНКО за 2023 год указана сумма в позиции 7 раздела II в размере 553,51295 тыс. рублей, что соответствует реестру контрактов, заключенных путем проведения электронных аукционов.</w:t>
      </w:r>
    </w:p>
    <w:p>
      <w:pPr>
        <w:pStyle w:val="Normal"/>
        <w:widowControl/>
        <w:suppressAutoHyphens w:val="true"/>
        <w:bidi w:val="0"/>
        <w:spacing w:lineRule="auto" w:line="240" w:before="0" w:after="0"/>
        <w:ind w:left="0" w:right="0" w:firstLine="680"/>
        <w:jc w:val="both"/>
        <w:rPr/>
      </w:pPr>
      <w:r>
        <w:rPr>
          <w:b w:val="false"/>
          <w:bCs/>
          <w:color w:val="000000"/>
          <w:sz w:val="28"/>
          <w:szCs w:val="28"/>
        </w:rPr>
        <w:t>Согласно подпункту «з» пункта 2 Требований к заполнению формы Отчета об объеме закупок у СМП и СОНКО в позиции 8 раздела II указывается доля закупок, которые заказчик осуществил у субъектов малого предпринимательства и социально ориентированных некоммерческих организаций в отчетном году, рассчитанная как процентная доля объема закупок, указанного в позиции 7, по отношению к совокупному годовому объему закупок, рассчитанному с учетом части 1.1 статьи 30 Закона № 44-ФЗ и указанному в позиции 3 (%).</w:t>
      </w:r>
    </w:p>
    <w:p>
      <w:pPr>
        <w:pStyle w:val="Normal"/>
        <w:widowControl/>
        <w:suppressAutoHyphens w:val="true"/>
        <w:bidi w:val="0"/>
        <w:spacing w:lineRule="auto" w:line="240" w:before="0" w:after="0"/>
        <w:ind w:left="0" w:right="0" w:firstLine="680"/>
        <w:jc w:val="both"/>
        <w:rPr/>
      </w:pPr>
      <w:r>
        <w:rPr>
          <w:b w:val="false"/>
          <w:bCs/>
          <w:color w:val="000000"/>
          <w:sz w:val="28"/>
          <w:szCs w:val="28"/>
        </w:rPr>
        <w:t>В Отчете об объеме закупок у СМП и СОНКО за 2023 год в позиции 8 раздела II указан показатель 100,00 процентов, тогда как следовало указать долю закупок, которые Заказчик фактически осуществил у СМП и СОНКО в 2023 году в размере 84,711</w:t>
      </w:r>
      <w:r>
        <w:rPr>
          <w:b w:val="false"/>
          <w:bCs/>
          <w:color w:val="000000"/>
          <w:sz w:val="28"/>
          <w:szCs w:val="28"/>
          <w:lang w:val="en-US"/>
        </w:rPr>
        <w:t>79</w:t>
      </w:r>
      <w:r>
        <w:rPr>
          <w:b w:val="false"/>
          <w:bCs/>
          <w:color w:val="000000"/>
          <w:sz w:val="28"/>
          <w:szCs w:val="28"/>
        </w:rPr>
        <w:t xml:space="preserve"> процента.</w:t>
      </w:r>
    </w:p>
    <w:p>
      <w:pPr>
        <w:pStyle w:val="Normal"/>
        <w:widowControl/>
        <w:suppressAutoHyphens w:val="true"/>
        <w:bidi w:val="0"/>
        <w:spacing w:lineRule="auto" w:line="240" w:before="0" w:after="0"/>
        <w:ind w:left="0" w:right="0" w:firstLine="680"/>
        <w:jc w:val="both"/>
        <w:rPr/>
      </w:pPr>
      <w:r>
        <w:rPr>
          <w:b w:val="false"/>
          <w:bCs/>
          <w:color w:val="000000"/>
          <w:sz w:val="28"/>
          <w:szCs w:val="28"/>
        </w:rPr>
        <w:t>В указанном нарушении усматриваются признаки административного правонарушения, предусмотренного частью 1.4 статьи 7.30 КоАП РФ, выразившегося в указании в Отчете  недостоверных сведений.</w:t>
      </w:r>
    </w:p>
    <w:p>
      <w:pPr>
        <w:pStyle w:val="Normal"/>
        <w:widowControl/>
        <w:suppressAutoHyphens w:val="true"/>
        <w:bidi w:val="0"/>
        <w:spacing w:lineRule="auto" w:line="240" w:before="0" w:after="0"/>
        <w:ind w:left="0" w:right="0" w:firstLine="680"/>
        <w:jc w:val="both"/>
        <w:rPr/>
      </w:pPr>
      <w:r>
        <w:rPr>
          <w:b w:val="false"/>
          <w:bCs/>
          <w:color w:val="000000"/>
          <w:sz w:val="28"/>
          <w:szCs w:val="28"/>
        </w:rPr>
        <w:t>3. Частью 2 статьи 30.1 Закона № 44-ФЗ установлена обязанность заказчиков по итогам года до 1 апреля года, следующего за отчетным, составлять и размещать в ЕИС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указанной статьи (далее - Отчет об объеме закупок российских товаров).</w:t>
      </w:r>
    </w:p>
    <w:p>
      <w:pPr>
        <w:pStyle w:val="Normal"/>
        <w:widowControl/>
        <w:suppressAutoHyphens w:val="true"/>
        <w:bidi w:val="0"/>
        <w:spacing w:lineRule="auto" w:line="240" w:before="0" w:after="0"/>
        <w:ind w:left="0" w:right="0" w:firstLine="680"/>
        <w:jc w:val="both"/>
        <w:rPr/>
      </w:pPr>
      <w:r>
        <w:rPr>
          <w:b w:val="false"/>
          <w:bCs/>
          <w:color w:val="000000"/>
          <w:sz w:val="28"/>
          <w:szCs w:val="28"/>
        </w:rPr>
        <w:t>Согласно пункту 1 части 4 статьи 30.1 Закона № 44-ФЗ Правительством Российской Федерации определяются требования к содержанию и форме отчета, указанного в части 2 статьи 30.1 Закона № 44-ФЗ, а также порядок его подготовки и размещения в ЕИС.</w:t>
      </w:r>
    </w:p>
    <w:p>
      <w:pPr>
        <w:pStyle w:val="Normal"/>
        <w:widowControl/>
        <w:suppressAutoHyphens w:val="true"/>
        <w:bidi w:val="0"/>
        <w:spacing w:lineRule="auto" w:line="240" w:before="0" w:after="0"/>
        <w:ind w:left="0" w:right="0" w:firstLine="680"/>
        <w:jc w:val="both"/>
        <w:rPr/>
      </w:pPr>
      <w:r>
        <w:rPr>
          <w:b w:val="false"/>
          <w:bCs/>
          <w:color w:val="000000"/>
          <w:sz w:val="28"/>
          <w:szCs w:val="28"/>
        </w:rPr>
        <w:t>В соответствии с пунктом 1 постановления Правительства Российской Федерации  «О минимальной обязательной доле закупок российских товаров и ее достижении заказчиком» от 03.12.2020 № 2014 (далее – Постановление № 2014) установлена,  согласно приложению, минимальная обязательная доля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pPr>
        <w:pStyle w:val="Normal"/>
        <w:widowControl/>
        <w:suppressAutoHyphens w:val="true"/>
        <w:bidi w:val="0"/>
        <w:spacing w:lineRule="auto" w:line="240" w:before="0" w:after="0"/>
        <w:ind w:left="0" w:right="0" w:firstLine="680"/>
        <w:jc w:val="both"/>
        <w:rPr/>
      </w:pPr>
      <w:r>
        <w:rPr>
          <w:b w:val="false"/>
          <w:bCs/>
          <w:color w:val="000000"/>
          <w:sz w:val="28"/>
          <w:szCs w:val="28"/>
        </w:rPr>
        <w:t>В соответствии с подпунктом «б» пункта 4 Постановления № 2014 заказчик не позднее 1 апреля года, следующего за отчетным, подписывает вышеназванный Отчет усиленной квалифицированной электронной подписью лица, имеющего право действовать от имени Заказчика.</w:t>
      </w:r>
    </w:p>
    <w:p>
      <w:pPr>
        <w:pStyle w:val="Normal"/>
        <w:widowControl/>
        <w:suppressAutoHyphens w:val="true"/>
        <w:bidi w:val="0"/>
        <w:spacing w:lineRule="auto" w:line="240" w:before="0" w:after="0"/>
        <w:ind w:left="0" w:right="0" w:firstLine="680"/>
        <w:jc w:val="both"/>
        <w:rPr/>
      </w:pPr>
      <w:r>
        <w:rPr>
          <w:b w:val="false"/>
          <w:bCs/>
          <w:color w:val="000000"/>
          <w:sz w:val="28"/>
          <w:szCs w:val="28"/>
        </w:rPr>
        <w:t>При проверке соблюдения Заказчиком требований частей 1 и 2 статьи 30.1 Закона № 44-ФЗ, пункта 1 Постановления № 2014 по выполнению объема закупок российских товаров в проверяемом периоде установлено следующее:</w:t>
      </w:r>
    </w:p>
    <w:p>
      <w:pPr>
        <w:pStyle w:val="Normal"/>
        <w:widowControl/>
        <w:suppressAutoHyphens w:val="true"/>
        <w:bidi w:val="0"/>
        <w:spacing w:lineRule="auto" w:line="240" w:before="0" w:after="0"/>
        <w:ind w:left="0" w:right="0" w:firstLine="680"/>
        <w:jc w:val="both"/>
        <w:rPr/>
      </w:pPr>
      <w:r>
        <w:rPr>
          <w:b w:val="false"/>
          <w:bCs/>
          <w:color w:val="000000"/>
          <w:sz w:val="28"/>
          <w:szCs w:val="28"/>
        </w:rPr>
        <w:t>- согласно Отчетам об объеме закупок российских товаров за 2021, 2022 и 2023 годы в указанных периодах не осуществлялась приемка товаров, отраженных в приложении к Постановлению № 2014, что соответствует фактическим данным;</w:t>
      </w:r>
    </w:p>
    <w:p>
      <w:pPr>
        <w:pStyle w:val="Normal"/>
        <w:widowControl/>
        <w:suppressAutoHyphens w:val="true"/>
        <w:bidi w:val="0"/>
        <w:spacing w:lineRule="auto" w:line="240" w:before="0" w:after="0"/>
        <w:ind w:left="0" w:right="0" w:firstLine="680"/>
        <w:jc w:val="both"/>
        <w:rPr/>
      </w:pPr>
      <w:r>
        <w:rPr>
          <w:b w:val="false"/>
          <w:bCs/>
          <w:color w:val="000000"/>
          <w:sz w:val="28"/>
          <w:szCs w:val="28"/>
        </w:rPr>
        <w:t>- Отчет об объеме закупок российских товаров за 2021 год размещен в ЕИС 28 марта 2022 года, за 2022 год - 27 марта 2023 года, за 2023 год - 31 марта 2024 года, т.е. своевременно. Нарушений не установлено.</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4. </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В 2022 году п</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ри осуществлении закупки у единственного поставщика (подрядчика, исполнителя) в случаях, предусмотренных пунктами 4 и 5 части 1 статьи 93 Закона № 44-ФЗ, если закупка осуществлена в электронной форме с использованием электронной площадки на сумму, не превышающую трех миллионов рублей, </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а с 28 апреля 2023 года, если закупка осуществлена в электронной форме с использованием электронной площадки на сумму, не превышающую пяти миллионов рублей (ч. 12 ст. 93 Закона № 44-ФЗ),  </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заказчик обязан определить и обосновать цену контракта в порядке, установленном Законом № 44-ФЗ. </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Так как в проверяемом периоде все закупки по пункту 4 части 1 статьи 93 Закона № 44-ФЗ Заказчиком были осуществлены не в электронной форме, то обоснование цены контракта не треб</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овалось</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Частью 1 статьи 24 Закона №  44-ФЗ установлено, что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Согласно части 5 статьи 24 Закона №  44-ФЗ заказчик выбирает способ определения поставщика (подрядчика, исполнителя) в соответствии с положениями главы 3 Закона №  44-ФЗ. При этом он не вправе совершать действия, влекущие за собой необоснованное сокращение числа участников закупки. </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Таким образом, право выбора способа определения поставщика (подрядчика, исполнителя) принадлежит заказчику и зависит от цены контракта, оперативности поставки товаров, выполнения работ, оказания услуг, а также законодательного урегулирования применения данного способа.</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Пункт 4 части 1 статьи 93 Закона №  44-ФЗ предусматривает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 </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На основании пункта 16 части 1 статьи 3 Закона № 44-ФЗ совокупный годовой объем закупок (далее – СГОЗ) – это утвержденный на соответствующий финансовый год общий объем финансового обеспечения для осуществления заказчиком закупок в соответствии с указанным Законом, в том числе для оплаты контрактов, заключенных до начала указанного финансового года и подлежащих оплате в указанном финансовом году.</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СГОЗ в 2022 году согласно Бюджетной смете на 2022 финансовый год, утвержденной Учредителем от 15 декабря 2022 года, составил 6 779 365,06 рубл</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я</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С учетом установленных законодателем ограничений в отношении годового объема закупок в соответствии с пунктом 4 части 1 статьи 93 Закона №  44-ФЗ в виде альтернативы между десятью процентами совокупного годового объема закупок и двумя миллионами рублей, предельный объем закупок на основании вышеназванной статьи  Закона № 44-ФЗ для МКУ «ЦБ УО» в 2022 году применяется </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показатель</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 в два миллиона рублей.</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Расчет размера десяти процентов СГОЗ учреждения составил                                          в сумме 677 936,50 рубл</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я</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 (6 779 365,06*10/100).</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Фактически объем закупок по пункту 4 части 1 статьи 93 Закона № 44-ФЗ  МКУ «ЦБ УО» составил 6 149 649,95 рубл</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я</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 </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Сумма превышения установленных ограничений составляет 4 149 649,95 рубля.</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Необходимо отметить, что согласно пункту 3 статьи 3 Закона № 44-ФЗ под закупкой товара, работы, услуги для обеспечения государственных или муниципальных нужд понимается совокупность действий, осуществляемых в установленном Законом № 44-ФЗ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Законом №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Таким образом, момент завершения закупки законодатель напрямую связывает с исполнением сторонами контракта всех, предусмотренных таким контрактом обязательств.</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Следовательно, рассчитывая фактический объем закупок, осуществленных заказчиком на основании пункта 4 части 1 статьи 93 Закона № 44-ФЗ необходимо руководствоваться объемом денежных средств, которые были фактически затрачены заказчиком в соответствующем финансовом году для оплаты исполненных обязательств по контрактам, заключенным с единственным поставщиком по названному основанию. При этом, в таком расчете не учитывается стоимость исполненных (неисполненных) обязательств, предусмотренных такими контрактами, оплата которых в соответствующем финансовом году не производилась.</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Анализ реестра заключенных МКУ «ЦБ УО» контрактов показал, что </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по состоянию</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 на 31 </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декабря </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2022 года Заказчик заключил 68 контрактов в соответствии с пунктом 4 части 1 статьи 93 Закона № 44-ФЗ, сумма фактического исполнения которых в 2022 году составила 6 149 649,95 рубл</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я</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В 2022 году з</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а период с 1 </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января </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2022 года по 24 </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октября </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2022 года было заключено 29 контрактов в соответствии с пунктом 4 части 1 статьи 93                    Закона № 44-ФЗ, сумма фактического исполнения которых в 2022 году                          составила 1 918 256,57 рубл</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я</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Остальные</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 39 заключенны</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х</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 Заказчиком контракт</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ов</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                                                       на сумму 4 231 393,38 рубл</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я</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 п</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овлекли</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 превышени</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е</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 ограничений, установленн</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ых</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 пунктом 4 части 1 статьи 93 Закона № 44-ФЗ, годового объема закупок.</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Учитывая вышеизложенное, годовой объем закупок, который Заказчик осуществил на основании пункта 4 части 1 статьи 93 Закона № 44-ФЗ в 2022 году был превышен на сумму 4 149 649,95 рубл</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я</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Таким образом</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 Заказчиком </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в нарушение требований пункта 4 части 1 статьи 93 Закона № 44-ФЗ </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был </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неверно выбран способ определения поставщика (подрядчика, исполнителя)</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В указанном нарушении усматриваются признаки административного правонарушения, ответственность за которое предусмотрена                                              частью 1 статьи 7.29 КоАП РФ.</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Вместе с тем, на основании части 1 статьи 4.5 КоАП РФ постановление по делу об административном правонарушении за нарушение законодательства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частью 7 статьи 19.5, статьей 19.7.2 КоАП РФ) не может быть вынесено по истечении одного года со дня совершения административного правонарушения. </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СГОЗ в 2023 году согласно Бюджетной смете от 29 декабря 2023 года на 2023 финансовый </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год</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утвержденной Учредителем, составил 6 071 725,88 рубл</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я</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 (Приложение №3).</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С учетом установленных законодателем ограничений в отношении годового объема закупок в соответствии с пунктом 4 части 1 статьи 93 Закона №  44-ФЗ в виде альтернативы между десятью процентами совокупного годового объема закупок и двумя миллионами рублей, предельный объем закупок на основании вышеназванной статьи  Закона № 44-ФЗ для МКУ «ЦБ УО» в 2023 году применяется показатель в два миллиона рублей.</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Расчет размера десяти процентов СГОЗ учреждения составил                                          в сумме 607 172,58 рубл</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я</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 (6 071 725,88*10/100).</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Фактически объем закупок по пункту 4 части 1 статьи 93 Закона № 44-ФЗ  МКУ «ЦБ УО» составил 5 127 957,16 рубл</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я</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Необходимо отметить, что согласно пункту 3 статьи 3 Закона № 44-ФЗ под закупкой товара, работы, услуги для обеспечения государственных или муниципальных нужд понимается совокупность действий, осуществляемых в установленном Законом № 44-ФЗ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Законом                       №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Таким образом, момент завершения закупки законодатель напрямую связывает с исполнением сторонами контракта всех, предусмотренных таким контрактом обязательств.</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Следовательно, рассчитывая фактический объем закупок, осуществленных заказчиком на основании пункта 4 части 1 статьи 93 Закона № 44-ФЗ необходимо руководствоваться объемом денежных средств, которые были фактически затрачены заказчиком в соответствующем финансовом году для оплаты исполненных обязательств по контрактам, заключенным с единственным поставщиком по названному основанию. При этом, в таком расчете не учитывается стоимость исполненных (неисполненных) обязательств, предусмотренных такими контрактами, оплата которых в соответствующем финансовом году не производилась.</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Анализ реестра заключенных МКУ «ЦБ УО» контрактов показал, что </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по состоянию</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 на 31 </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декабря </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2023 года Заказчик заключил </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56</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 контрактов в соответствии с пунктом 4 части 1 статьи 93 Закона № 44-ФЗ, сумма фактического исполнения которых в 2023 году составила 5 127 957,16 рубл</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я</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 (Приложение № 4).</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В 2023 году з</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а период с 1 </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января </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2023 года по 2 </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марта </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2023 года было заключено 13 контрактов в соответствии с пунктом 4 части 1 статьи 93                Закона № 44-ФЗ, сумма фактического исполнения, которых в 202</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en-US" w:eastAsia="ar-SA"/>
        </w:rPr>
        <w:t>3</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 году                                  составила 1 629 734,56 рубл</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я</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Остальные</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 43 заключенных Заказчиком контракта                                                       на сумму 3 498 222,60 рубл</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я</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 п</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овлекли </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 превышени</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е</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 ограничений, установленн</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ых</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 пунктом 4 части 1 статьи 93 Закона № 44-ФЗ, годового объема закупок.</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Учитывая вышеизложенное, годовой объем закупок, который Заказчик осуществил на основании пункта 4 части 1 статьи 93 Закона № 44-ФЗ в 202</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3</w:t>
      </w: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 году был превышен на сумму 3 127 957,16 рублей.</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Таким образом, Заказчиком в нарушение требований пункта 4 части 1 статьи 93 Закона № 44-ФЗ был неверно выбран способ определения поставщика (подрядчика, исполнителя).</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В указанном нарушении усматриваются признаки административного правонарушения, ответственность за которое предусмотрена                                              частью 1 статьи 7.29  КоАП РФ.</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5. Согласно части 2 статьи 93 Закона № 44-ФЗ при осуществлении закупки у единственного поставщика (подрядчика, исполнителя) в случаях, предусмотренных пунктами 6, 9, 34 и 50 части 1 указанной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в орган местного самоуправления муниципального района, уполномоченный на осуществление контроля в сфере закупок.</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В проверяемом периоде Заказчиком такие контракты не заключались, соответственно уведомления в уполномоченный орган - Отдел внутреннего финансового контроля,  не направлялись.</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Извещения о проведении открытых аукционов и конкурсов в электронной форме соответствуют требованиям статьи 42 Закона № 44-ФЗ и размещены в ЕИС в установленные сроки. Нарушений не установлено.</w:t>
      </w:r>
    </w:p>
    <w:p>
      <w:pPr>
        <w:pStyle w:val="Normal"/>
        <w:widowControl/>
        <w:suppressAutoHyphens w:val="true"/>
        <w:bidi w:val="0"/>
        <w:spacing w:lineRule="auto" w:line="240" w:before="0" w:after="0"/>
        <w:ind w:left="0" w:right="0" w:firstLine="680"/>
        <w:jc w:val="both"/>
        <w:rPr>
          <w:rFonts w:ascii="Times New Roman CYR" w:hAnsi="Times New Roman CYR" w:eastAsia="Calibri" w:cs="Times New Roman"/>
          <w:b w:val="false"/>
          <w:b w:val="false"/>
          <w:bCs/>
          <w:i w:val="false"/>
          <w:i w:val="false"/>
          <w:iCs w:val="false"/>
          <w:caps w:val="false"/>
          <w:smallCaps w:val="false"/>
          <w:color w:val="000000"/>
          <w:spacing w:val="0"/>
          <w:kern w:val="0"/>
          <w:sz w:val="28"/>
          <w:szCs w:val="28"/>
          <w:u w:val="none"/>
          <w:lang w:val="ru-RU" w:eastAsia="ar-SA"/>
        </w:rPr>
      </w:pPr>
      <w:r>
        <w:rPr>
          <w:rFonts w:eastAsia="Calibri" w:cs="Times New Roman" w:ascii="Times New Roman CYR" w:hAnsi="Times New Roman CYR"/>
          <w:b w:val="false"/>
          <w:bCs/>
          <w:i w:val="false"/>
          <w:iCs w:val="false"/>
          <w:caps w:val="false"/>
          <w:smallCaps w:val="false"/>
          <w:color w:val="000000"/>
          <w:spacing w:val="0"/>
          <w:kern w:val="0"/>
          <w:sz w:val="28"/>
          <w:szCs w:val="28"/>
          <w:u w:val="none"/>
          <w:lang w:val="ru-RU" w:eastAsia="ar-SA"/>
        </w:rPr>
        <w:t xml:space="preserve">На момент проведения проверки, процедуры, находящиеся на стадии определения поставщика (подрядчика, исполнителя), подлежащие проверке,  отсутствуют. </w:t>
      </w:r>
    </w:p>
    <w:p>
      <w:pPr>
        <w:pStyle w:val="Normal"/>
        <w:ind w:left="-567" w:right="0" w:hanging="0"/>
        <w:jc w:val="center"/>
        <w:rPr>
          <w:b/>
          <w:b/>
          <w:sz w:val="28"/>
          <w:szCs w:val="28"/>
          <w:lang w:eastAsia="ar-SA"/>
        </w:rPr>
      </w:pPr>
      <w:r>
        <w:rPr>
          <w:b/>
          <w:sz w:val="28"/>
          <w:szCs w:val="28"/>
          <w:lang w:eastAsia="ar-SA"/>
        </w:rPr>
        <w:t>Выводы по результатам проверки</w:t>
      </w:r>
    </w:p>
    <w:p>
      <w:pPr>
        <w:pStyle w:val="Normal"/>
        <w:ind w:left="-567" w:right="0" w:hanging="0"/>
        <w:jc w:val="center"/>
        <w:rPr>
          <w:b/>
          <w:b/>
          <w:sz w:val="28"/>
          <w:szCs w:val="28"/>
          <w:lang w:eastAsia="ar-SA"/>
        </w:rPr>
      </w:pPr>
      <w:r>
        <w:rPr>
          <w:b/>
          <w:sz w:val="28"/>
          <w:szCs w:val="28"/>
          <w:lang w:eastAsia="ar-SA"/>
        </w:rPr>
      </w:r>
    </w:p>
    <w:p>
      <w:pPr>
        <w:pStyle w:val="Normal"/>
        <w:ind w:left="0" w:right="0" w:firstLine="567"/>
        <w:jc w:val="both"/>
        <w:rPr/>
      </w:pPr>
      <w:r>
        <w:rPr>
          <w:sz w:val="28"/>
          <w:szCs w:val="28"/>
          <w:lang w:eastAsia="ar-SA"/>
        </w:rPr>
        <w:t xml:space="preserve">В результате проведенной проверки выявлены нарушения, допущенные должностным лицом Заказчика – </w:t>
      </w:r>
      <w:r>
        <w:rPr>
          <w:rFonts w:eastAsia="Times New Roman" w:cs="Times New Roman"/>
          <w:color w:val="auto"/>
          <w:kern w:val="0"/>
          <w:sz w:val="28"/>
          <w:szCs w:val="28"/>
          <w:lang w:val="ru-RU" w:eastAsia="ar-SA" w:bidi="ar-SA"/>
        </w:rPr>
        <w:t>директором</w:t>
      </w:r>
      <w:r>
        <w:rPr>
          <w:sz w:val="28"/>
          <w:szCs w:val="28"/>
          <w:lang w:eastAsia="ar-SA"/>
        </w:rPr>
        <w:t xml:space="preserve"> МКУ «ЦБ УО» Щебетовой Е.</w:t>
      </w:r>
      <w:r>
        <w:rPr>
          <w:rFonts w:eastAsia="Times New Roman" w:cs="Times New Roman"/>
          <w:color w:val="auto"/>
          <w:kern w:val="0"/>
          <w:sz w:val="28"/>
          <w:szCs w:val="28"/>
          <w:lang w:val="ru-RU" w:eastAsia="en-US" w:bidi="ar-SA"/>
        </w:rPr>
        <w:t>А.</w:t>
      </w:r>
      <w:r>
        <w:rPr>
          <w:sz w:val="28"/>
          <w:szCs w:val="28"/>
          <w:lang w:eastAsia="ar-SA"/>
        </w:rPr>
        <w:t>, а именно:</w:t>
      </w:r>
    </w:p>
    <w:p>
      <w:pPr>
        <w:pStyle w:val="Normal"/>
        <w:widowControl/>
        <w:shd w:val="clear" w:fill="FFFFFF"/>
        <w:suppressAutoHyphens w:val="true"/>
        <w:overflowPunct w:val="false"/>
        <w:bidi w:val="0"/>
        <w:spacing w:lineRule="auto" w:line="240" w:before="0" w:after="0"/>
        <w:ind w:left="0" w:right="0" w:firstLine="567"/>
        <w:jc w:val="both"/>
        <w:rPr>
          <w:bCs/>
          <w:sz w:val="28"/>
          <w:szCs w:val="28"/>
        </w:rPr>
      </w:pPr>
      <w:r>
        <w:rPr>
          <w:rFonts w:eastAsia="Times New Roman CYR" w:cs="Times New Roman CYR" w:ascii="Times New Roman CYR" w:hAnsi="Times New Roman CYR"/>
          <w:b w:val="false"/>
          <w:bCs/>
          <w:color w:val="auto"/>
          <w:kern w:val="0"/>
          <w:sz w:val="28"/>
          <w:szCs w:val="28"/>
          <w:u w:val="none"/>
          <w:lang w:val="ru-RU" w:eastAsia="ar-SA" w:bidi="ar-SA"/>
        </w:rPr>
        <w:t xml:space="preserve">- нарушение части 3 </w:t>
      </w:r>
      <w:r>
        <w:rPr>
          <w:rFonts w:eastAsia="Times New Roman CYR" w:cs="Times New Roman CYR" w:ascii="Times New Roman CYR" w:hAnsi="Times New Roman CYR"/>
          <w:b w:val="false"/>
          <w:bCs/>
          <w:color w:val="auto"/>
          <w:kern w:val="0"/>
          <w:sz w:val="28"/>
          <w:szCs w:val="28"/>
          <w:u w:val="none"/>
          <w:lang w:val="ru-RU" w:eastAsia="en-US" w:bidi="ar-SA"/>
        </w:rPr>
        <w:t xml:space="preserve">статьи 7 Закона  № 44-ФЗ,  выразившееся </w:t>
      </w:r>
      <w:r>
        <w:rPr>
          <w:rFonts w:eastAsia="Times New Roman CYR" w:cs="Times New Roman CYR" w:ascii="Times New Roman CYR" w:hAnsi="Times New Roman CYR"/>
          <w:b w:val="false"/>
          <w:bCs/>
          <w:color w:val="auto"/>
          <w:kern w:val="0"/>
          <w:sz w:val="28"/>
          <w:szCs w:val="28"/>
          <w:u w:val="none"/>
          <w:lang w:val="ru-RU" w:eastAsia="ar-SA" w:bidi="ar-SA"/>
        </w:rPr>
        <w:t xml:space="preserve">в размещении </w:t>
      </w:r>
      <w:r>
        <w:rPr>
          <w:rFonts w:eastAsia="Times New Roman CYR" w:cs="Times New Roman CYR" w:ascii="Times New Roman CYR" w:hAnsi="Times New Roman CYR"/>
          <w:b w:val="false"/>
          <w:bCs/>
          <w:color w:val="auto"/>
          <w:kern w:val="0"/>
          <w:sz w:val="28"/>
          <w:szCs w:val="28"/>
          <w:u w:val="none"/>
          <w:lang w:val="ru-RU" w:eastAsia="en-US" w:bidi="ar-SA"/>
        </w:rPr>
        <w:t>Отчета об объеме закупок у СМП и СОНКО за 2022 год, содержащего недостоверную информацию. Указанное нарушение содержит признаки административного правонарушения, ответственность за которое предусмотрена частью 1.4 статьи 7.30 КоАП РФ. Однако, срок давности привлечения к административной ответственности на дату проведения проверки истек (более года);</w:t>
      </w:r>
    </w:p>
    <w:p>
      <w:pPr>
        <w:pStyle w:val="Normal"/>
        <w:widowControl/>
        <w:shd w:val="clear" w:fill="FFFFFF"/>
        <w:suppressAutoHyphens w:val="true"/>
        <w:bidi w:val="0"/>
        <w:spacing w:lineRule="auto" w:line="240" w:before="0" w:after="0"/>
        <w:ind w:left="0" w:right="0" w:firstLine="567"/>
        <w:jc w:val="both"/>
        <w:rPr>
          <w:rFonts w:ascii="Times New Roman CYR" w:hAnsi="Times New Roman CYR" w:eastAsia="Times New Roman CYR" w:cs="Times New Roman CYR"/>
          <w:b w:val="false"/>
          <w:b w:val="false"/>
          <w:bCs/>
          <w:color w:val="auto"/>
          <w:kern w:val="0"/>
          <w:sz w:val="28"/>
          <w:szCs w:val="28"/>
          <w:u w:val="none"/>
          <w:lang w:val="ru-RU" w:eastAsia="en-US" w:bidi="ar-SA"/>
        </w:rPr>
      </w:pPr>
      <w:r>
        <w:rPr>
          <w:rFonts w:eastAsia="Times New Roman CYR" w:cs="Times New Roman CYR" w:ascii="Times New Roman CYR" w:hAnsi="Times New Roman CYR"/>
          <w:b w:val="false"/>
          <w:bCs/>
          <w:color w:val="auto"/>
          <w:kern w:val="0"/>
          <w:sz w:val="28"/>
          <w:szCs w:val="28"/>
          <w:u w:val="none"/>
          <w:lang w:val="ru-RU" w:eastAsia="en-US" w:bidi="ar-SA"/>
        </w:rPr>
        <w:t>- нарушение части 3 статьи 7 Закона  № 44-ФЗ,  выразившееся в размещении Отчета об объеме закупок у СМП и СОНКО за 2023 год, содержащего недостоверную информацию.</w:t>
      </w:r>
    </w:p>
    <w:p>
      <w:pPr>
        <w:pStyle w:val="Normal"/>
        <w:widowControl/>
        <w:shd w:val="clear" w:fill="FFFFFF"/>
        <w:suppressAutoHyphens w:val="true"/>
        <w:bidi w:val="0"/>
        <w:spacing w:lineRule="auto" w:line="240" w:before="0" w:after="0"/>
        <w:ind w:left="0" w:right="0" w:firstLine="567"/>
        <w:jc w:val="both"/>
        <w:rPr>
          <w:rFonts w:ascii="Times New Roman CYR" w:hAnsi="Times New Roman CYR" w:eastAsia="Times New Roman CYR" w:cs="Times New Roman CYR"/>
          <w:b w:val="false"/>
          <w:b w:val="false"/>
          <w:bCs/>
          <w:color w:val="auto"/>
          <w:kern w:val="0"/>
          <w:sz w:val="28"/>
          <w:szCs w:val="28"/>
          <w:u w:val="none"/>
          <w:lang w:val="ru-RU" w:eastAsia="en-US" w:bidi="ar-SA"/>
        </w:rPr>
      </w:pPr>
      <w:r>
        <w:rPr>
          <w:rFonts w:eastAsia="Times New Roman CYR" w:cs="Times New Roman CYR" w:ascii="Times New Roman CYR" w:hAnsi="Times New Roman CYR"/>
          <w:b w:val="false"/>
          <w:bCs/>
          <w:color w:val="auto"/>
          <w:kern w:val="0"/>
          <w:sz w:val="28"/>
          <w:szCs w:val="28"/>
          <w:u w:val="none"/>
          <w:lang w:val="ru-RU" w:eastAsia="en-US" w:bidi="ar-SA"/>
        </w:rPr>
        <w:t>Указанное нарушение содержит признаки административного правонарушения, ответственность за которое предусмотрена частью 1.4 статьи 7.30 КоАП РФ;</w:t>
      </w:r>
    </w:p>
    <w:p>
      <w:pPr>
        <w:pStyle w:val="Normal"/>
        <w:widowControl/>
        <w:shd w:val="clear" w:fill="FFFFFF"/>
        <w:suppressAutoHyphens w:val="true"/>
        <w:bidi w:val="0"/>
        <w:spacing w:lineRule="auto" w:line="240" w:before="0" w:after="0"/>
        <w:ind w:left="0" w:right="0" w:firstLine="567"/>
        <w:jc w:val="both"/>
        <w:rPr>
          <w:rFonts w:ascii="Times New Roman CYR" w:hAnsi="Times New Roman CYR" w:eastAsia="Times New Roman CYR" w:cs="Times New Roman CYR"/>
          <w:b w:val="false"/>
          <w:b w:val="false"/>
          <w:bCs/>
          <w:color w:val="auto"/>
          <w:kern w:val="0"/>
          <w:sz w:val="28"/>
          <w:szCs w:val="28"/>
          <w:u w:val="none"/>
          <w:lang w:val="ru-RU" w:eastAsia="en-US" w:bidi="ar-SA"/>
        </w:rPr>
      </w:pPr>
      <w:r>
        <w:rPr>
          <w:rFonts w:eastAsia="Times New Roman CYR" w:cs="Times New Roman CYR" w:ascii="Times New Roman CYR" w:hAnsi="Times New Roman CYR"/>
          <w:b w:val="false"/>
          <w:bCs/>
          <w:color w:val="auto"/>
          <w:kern w:val="0"/>
          <w:sz w:val="28"/>
          <w:szCs w:val="28"/>
          <w:u w:val="none"/>
          <w:lang w:val="ru-RU" w:eastAsia="en-US" w:bidi="ar-SA"/>
        </w:rPr>
        <w:t xml:space="preserve">- нарушение пункта 4 части 1 статьи 93 Закона № 44-ФЗ, выразившееся в </w:t>
      </w:r>
      <w:r>
        <w:rPr>
          <w:rFonts w:eastAsia="Times New Roman CYR" w:cs="Times New Roman CYR" w:ascii="Times New Roman CYR" w:hAnsi="Times New Roman CYR"/>
          <w:b w:val="false"/>
          <w:bCs/>
          <w:color w:val="auto"/>
          <w:kern w:val="0"/>
          <w:sz w:val="28"/>
          <w:szCs w:val="28"/>
          <w:u w:val="none"/>
          <w:lang w:val="ru-RU" w:eastAsia="en-US" w:bidi="ar-SA"/>
        </w:rPr>
        <w:t xml:space="preserve">неверном </w:t>
      </w:r>
      <w:r>
        <w:rPr>
          <w:rFonts w:eastAsia="Times New Roman CYR" w:cs="Times New Roman CYR" w:ascii="Times New Roman CYR" w:hAnsi="Times New Roman CYR"/>
          <w:b w:val="false"/>
          <w:bCs/>
          <w:color w:val="auto"/>
          <w:kern w:val="0"/>
          <w:sz w:val="28"/>
          <w:szCs w:val="28"/>
          <w:u w:val="none"/>
          <w:lang w:val="ru-RU" w:eastAsia="en-US" w:bidi="ar-SA"/>
        </w:rPr>
        <w:t>выборе</w:t>
      </w:r>
      <w:r>
        <w:rPr>
          <w:rFonts w:eastAsia="Times New Roman CYR" w:cs="Times New Roman CYR" w:ascii="Times New Roman CYR" w:hAnsi="Times New Roman CYR"/>
          <w:b w:val="false"/>
          <w:bCs/>
          <w:color w:val="auto"/>
          <w:kern w:val="0"/>
          <w:sz w:val="28"/>
          <w:szCs w:val="28"/>
          <w:u w:val="none"/>
          <w:lang w:val="ru-RU" w:eastAsia="en-US" w:bidi="ar-SA"/>
        </w:rPr>
        <w:t xml:space="preserve"> способа определения поставщика </w:t>
      </w:r>
      <w:r>
        <w:rPr>
          <w:rFonts w:eastAsia="Times New Roman CYR" w:cs="Times New Roman CYR" w:ascii="Times New Roman CYR" w:hAnsi="Times New Roman CYR"/>
          <w:b w:val="false"/>
          <w:bCs/>
          <w:color w:val="auto"/>
          <w:kern w:val="0"/>
          <w:sz w:val="28"/>
          <w:szCs w:val="28"/>
          <w:u w:val="none"/>
          <w:lang w:val="ru-RU" w:eastAsia="en-US" w:bidi="ar-SA"/>
        </w:rPr>
        <w:t>(подрядчика, исполнителя) в 2022 году</w:t>
      </w:r>
      <w:r>
        <w:rPr>
          <w:rFonts w:eastAsia="Times New Roman CYR" w:cs="Times New Roman CYR" w:ascii="Times New Roman CYR" w:hAnsi="Times New Roman CYR"/>
          <w:b w:val="false"/>
          <w:bCs/>
          <w:color w:val="auto"/>
          <w:kern w:val="0"/>
          <w:sz w:val="28"/>
          <w:szCs w:val="28"/>
          <w:u w:val="none"/>
          <w:lang w:val="ru-RU" w:eastAsia="en-US" w:bidi="ar-SA"/>
        </w:rPr>
        <w:t>. Указанное нарушение содержит признаки административного правонарушения, ответственность за которое предусмотрена частью 1 статьи 7.</w:t>
      </w:r>
      <w:r>
        <w:rPr>
          <w:rFonts w:eastAsia="Times New Roman CYR" w:cs="Times New Roman CYR" w:ascii="Times New Roman CYR" w:hAnsi="Times New Roman CYR"/>
          <w:b w:val="false"/>
          <w:bCs/>
          <w:color w:val="auto"/>
          <w:kern w:val="0"/>
          <w:sz w:val="28"/>
          <w:szCs w:val="28"/>
          <w:u w:val="none"/>
          <w:lang w:val="ru-RU" w:eastAsia="en-US" w:bidi="ar-SA"/>
        </w:rPr>
        <w:t>29</w:t>
      </w:r>
      <w:r>
        <w:rPr>
          <w:rFonts w:eastAsia="Times New Roman CYR" w:cs="Times New Roman CYR" w:ascii="Times New Roman CYR" w:hAnsi="Times New Roman CYR"/>
          <w:b w:val="false"/>
          <w:bCs/>
          <w:color w:val="auto"/>
          <w:kern w:val="0"/>
          <w:sz w:val="28"/>
          <w:szCs w:val="28"/>
          <w:u w:val="none"/>
          <w:lang w:val="ru-RU" w:eastAsia="en-US" w:bidi="ar-SA"/>
        </w:rPr>
        <w:t xml:space="preserve"> КоАП РФ. Однако, срок давности привлечения к административной ответственности на дату проведения проверки истек (более года);</w:t>
      </w:r>
    </w:p>
    <w:p>
      <w:pPr>
        <w:pStyle w:val="Normal"/>
        <w:widowControl/>
        <w:shd w:val="clear" w:fill="FFFFFF"/>
        <w:suppressAutoHyphens w:val="true"/>
        <w:bidi w:val="0"/>
        <w:spacing w:lineRule="auto" w:line="240" w:before="0" w:after="0"/>
        <w:ind w:left="0" w:right="0" w:firstLine="567"/>
        <w:jc w:val="both"/>
        <w:rPr>
          <w:rFonts w:ascii="Times New Roman CYR" w:hAnsi="Times New Roman CYR" w:eastAsia="Times New Roman CYR" w:cs="Times New Roman CYR"/>
          <w:b w:val="false"/>
          <w:b w:val="false"/>
          <w:bCs/>
          <w:color w:val="auto"/>
          <w:kern w:val="0"/>
          <w:sz w:val="28"/>
          <w:szCs w:val="28"/>
          <w:u w:val="none"/>
          <w:lang w:val="ru-RU" w:eastAsia="en-US" w:bidi="ar-SA"/>
        </w:rPr>
      </w:pPr>
      <w:r>
        <w:rPr>
          <w:rFonts w:eastAsia="Times New Roman CYR" w:cs="Times New Roman CYR" w:ascii="Times New Roman CYR" w:hAnsi="Times New Roman CYR"/>
          <w:b w:val="false"/>
          <w:bCs/>
          <w:color w:val="auto"/>
          <w:kern w:val="0"/>
          <w:sz w:val="28"/>
          <w:szCs w:val="28"/>
          <w:u w:val="none"/>
          <w:lang w:val="ru-RU" w:eastAsia="en-US" w:bidi="ar-SA"/>
        </w:rPr>
        <w:t xml:space="preserve">- нарушение пункта 4 части 1 статьи 93 Закона № 44-ФЗ, выразившееся в неверном </w:t>
      </w:r>
      <w:r>
        <w:rPr>
          <w:rFonts w:eastAsia="Times New Roman CYR" w:cs="Times New Roman CYR" w:ascii="Times New Roman CYR" w:hAnsi="Times New Roman CYR"/>
          <w:b w:val="false"/>
          <w:bCs/>
          <w:color w:val="auto"/>
          <w:kern w:val="0"/>
          <w:sz w:val="28"/>
          <w:szCs w:val="28"/>
          <w:u w:val="none"/>
          <w:lang w:val="ru-RU" w:eastAsia="en-US" w:bidi="ar-SA"/>
        </w:rPr>
        <w:t>выборе</w:t>
      </w:r>
      <w:r>
        <w:rPr>
          <w:rFonts w:eastAsia="Times New Roman CYR" w:cs="Times New Roman CYR" w:ascii="Times New Roman CYR" w:hAnsi="Times New Roman CYR"/>
          <w:b w:val="false"/>
          <w:bCs/>
          <w:color w:val="auto"/>
          <w:kern w:val="0"/>
          <w:sz w:val="28"/>
          <w:szCs w:val="28"/>
          <w:u w:val="none"/>
          <w:lang w:val="ru-RU" w:eastAsia="en-US" w:bidi="ar-SA"/>
        </w:rPr>
        <w:t xml:space="preserve"> способа определения поставщика (подрядчика, исполнителя) </w:t>
      </w:r>
      <w:r>
        <w:rPr>
          <w:rFonts w:eastAsia="Times New Roman CYR" w:cs="Times New Roman CYR" w:ascii="Times New Roman CYR" w:hAnsi="Times New Roman CYR"/>
          <w:b w:val="false"/>
          <w:bCs/>
          <w:color w:val="auto"/>
          <w:kern w:val="0"/>
          <w:sz w:val="28"/>
          <w:szCs w:val="28"/>
          <w:u w:val="none"/>
          <w:lang w:val="ru-RU" w:eastAsia="en-US" w:bidi="ar-SA"/>
        </w:rPr>
        <w:t>в</w:t>
      </w:r>
      <w:r>
        <w:rPr>
          <w:rFonts w:eastAsia="Times New Roman CYR" w:cs="Times New Roman CYR" w:ascii="Times New Roman CYR" w:hAnsi="Times New Roman CYR"/>
          <w:b w:val="false"/>
          <w:bCs/>
          <w:color w:val="auto"/>
          <w:kern w:val="0"/>
          <w:sz w:val="28"/>
          <w:szCs w:val="28"/>
          <w:u w:val="none"/>
          <w:lang w:val="ru-RU" w:eastAsia="en-US" w:bidi="ar-SA"/>
        </w:rPr>
        <w:t xml:space="preserve"> 202</w:t>
      </w:r>
      <w:r>
        <w:rPr>
          <w:rFonts w:eastAsia="Times New Roman CYR" w:cs="Times New Roman CYR" w:ascii="Times New Roman CYR" w:hAnsi="Times New Roman CYR"/>
          <w:b w:val="false"/>
          <w:bCs/>
          <w:color w:val="auto"/>
          <w:kern w:val="0"/>
          <w:sz w:val="28"/>
          <w:szCs w:val="28"/>
          <w:u w:val="none"/>
          <w:lang w:val="ru-RU" w:eastAsia="en-US" w:bidi="ar-SA"/>
        </w:rPr>
        <w:t>3</w:t>
      </w:r>
      <w:r>
        <w:rPr>
          <w:rFonts w:eastAsia="Times New Roman CYR" w:cs="Times New Roman CYR" w:ascii="Times New Roman CYR" w:hAnsi="Times New Roman CYR"/>
          <w:b w:val="false"/>
          <w:bCs/>
          <w:color w:val="auto"/>
          <w:kern w:val="0"/>
          <w:sz w:val="28"/>
          <w:szCs w:val="28"/>
          <w:u w:val="none"/>
          <w:lang w:val="ru-RU" w:eastAsia="en-US" w:bidi="ar-SA"/>
        </w:rPr>
        <w:t xml:space="preserve"> год</w:t>
      </w:r>
      <w:r>
        <w:rPr>
          <w:rFonts w:eastAsia="Times New Roman CYR" w:cs="Times New Roman CYR" w:ascii="Times New Roman CYR" w:hAnsi="Times New Roman CYR"/>
          <w:b w:val="false"/>
          <w:bCs/>
          <w:color w:val="auto"/>
          <w:kern w:val="0"/>
          <w:sz w:val="28"/>
          <w:szCs w:val="28"/>
          <w:u w:val="none"/>
          <w:lang w:val="ru-RU" w:eastAsia="en-US" w:bidi="ar-SA"/>
        </w:rPr>
        <w:t>у</w:t>
      </w:r>
      <w:r>
        <w:rPr>
          <w:rFonts w:eastAsia="Times New Roman CYR" w:cs="Times New Roman CYR" w:ascii="Times New Roman CYR" w:hAnsi="Times New Roman CYR"/>
          <w:b w:val="false"/>
          <w:bCs/>
          <w:color w:val="auto"/>
          <w:kern w:val="0"/>
          <w:sz w:val="28"/>
          <w:szCs w:val="28"/>
          <w:u w:val="none"/>
          <w:lang w:val="ru-RU" w:eastAsia="en-US" w:bidi="ar-SA"/>
        </w:rPr>
        <w:t xml:space="preserve">. </w:t>
      </w:r>
    </w:p>
    <w:p>
      <w:pPr>
        <w:pStyle w:val="Normal"/>
        <w:widowControl/>
        <w:shd w:val="clear" w:fill="FFFFFF"/>
        <w:suppressAutoHyphens w:val="true"/>
        <w:bidi w:val="0"/>
        <w:spacing w:lineRule="auto" w:line="240" w:before="0" w:after="0"/>
        <w:ind w:left="0" w:right="0" w:firstLine="567"/>
        <w:jc w:val="both"/>
        <w:rPr>
          <w:rFonts w:ascii="Times New Roman CYR" w:hAnsi="Times New Roman CYR" w:eastAsia="Times New Roman CYR" w:cs="Times New Roman CYR"/>
          <w:b w:val="false"/>
          <w:b w:val="false"/>
          <w:bCs/>
          <w:color w:val="auto"/>
          <w:kern w:val="0"/>
          <w:sz w:val="28"/>
          <w:szCs w:val="28"/>
          <w:u w:val="none"/>
          <w:lang w:val="ru-RU" w:eastAsia="en-US" w:bidi="ar-SA"/>
        </w:rPr>
      </w:pPr>
      <w:r>
        <w:rPr>
          <w:rFonts w:eastAsia="Times New Roman CYR" w:cs="Times New Roman CYR" w:ascii="Times New Roman CYR" w:hAnsi="Times New Roman CYR"/>
          <w:b w:val="false"/>
          <w:bCs/>
          <w:color w:val="auto"/>
          <w:kern w:val="0"/>
          <w:sz w:val="28"/>
          <w:szCs w:val="28"/>
          <w:u w:val="none"/>
          <w:lang w:val="ru-RU" w:eastAsia="en-US" w:bidi="ar-SA"/>
        </w:rPr>
        <w:t>В указанном нарушении усматриваются признаки административного правонарушения, ответственность за которое предусмотрена частью 1 статьи 7.29 КоАП РФ.</w:t>
      </w:r>
    </w:p>
    <w:p>
      <w:pPr>
        <w:pStyle w:val="Normal"/>
        <w:widowControl/>
        <w:shd w:val="clear" w:fill="FFFFFF"/>
        <w:suppressAutoHyphens w:val="true"/>
        <w:bidi w:val="0"/>
        <w:spacing w:lineRule="auto" w:line="240" w:before="0" w:after="0"/>
        <w:ind w:left="0" w:right="0" w:firstLine="567"/>
        <w:jc w:val="both"/>
        <w:rPr>
          <w:rFonts w:ascii="Times New Roman CYR" w:hAnsi="Times New Roman CYR" w:eastAsia="Times New Roman CYR" w:cs="Times New Roman CYR"/>
          <w:b w:val="false"/>
          <w:b w:val="false"/>
          <w:bCs/>
          <w:color w:val="auto"/>
          <w:kern w:val="0"/>
          <w:sz w:val="28"/>
          <w:szCs w:val="28"/>
          <w:u w:val="none"/>
          <w:lang w:val="ru-RU" w:eastAsia="en-US" w:bidi="ar-SA"/>
        </w:rPr>
      </w:pPr>
      <w:r>
        <w:rPr/>
      </w:r>
    </w:p>
    <w:p>
      <w:pPr>
        <w:pStyle w:val="Normal"/>
        <w:widowControl/>
        <w:suppressAutoHyphens w:val="true"/>
        <w:bidi w:val="0"/>
        <w:spacing w:lineRule="auto" w:line="240" w:before="0" w:after="0"/>
        <w:ind w:left="0" w:right="170" w:hanging="0"/>
        <w:jc w:val="center"/>
        <w:rPr/>
      </w:pPr>
      <w:r>
        <w:rPr>
          <w:bCs/>
          <w:sz w:val="28"/>
          <w:szCs w:val="28"/>
        </w:rPr>
        <w:t xml:space="preserve">По результатам проведенной проверки </w:t>
      </w:r>
      <w:r>
        <w:rPr>
          <w:rFonts w:eastAsia="Times New Roman" w:cs="Times New Roman"/>
          <w:bCs/>
          <w:color w:val="auto"/>
          <w:kern w:val="0"/>
          <w:sz w:val="28"/>
          <w:szCs w:val="28"/>
          <w:lang w:val="ru-RU" w:eastAsia="ru-RU" w:bidi="ar-SA"/>
        </w:rPr>
        <w:t>ПРИНЯТО РЕШЕНИЕ</w:t>
      </w:r>
      <w:r>
        <w:rPr>
          <w:bCs/>
          <w:sz w:val="28"/>
          <w:szCs w:val="28"/>
        </w:rPr>
        <w:t>:</w:t>
      </w:r>
    </w:p>
    <w:p>
      <w:pPr>
        <w:pStyle w:val="Normal"/>
        <w:widowControl/>
        <w:suppressAutoHyphens w:val="true"/>
        <w:bidi w:val="0"/>
        <w:spacing w:lineRule="auto" w:line="240" w:before="0" w:after="0"/>
        <w:ind w:left="0" w:right="170" w:firstLine="624"/>
        <w:jc w:val="both"/>
        <w:rPr/>
      </w:pPr>
      <w:r>
        <w:rPr>
          <w:bCs/>
          <w:sz w:val="28"/>
          <w:szCs w:val="28"/>
        </w:rPr>
        <w:t xml:space="preserve">- направить копию акта проверки </w:t>
      </w:r>
      <w:r>
        <w:rPr>
          <w:rFonts w:eastAsia="Times New Roman" w:cs="Times New Roman"/>
          <w:bCs/>
          <w:color w:val="auto"/>
          <w:kern w:val="0"/>
          <w:sz w:val="28"/>
          <w:szCs w:val="28"/>
          <w:u w:val="none"/>
          <w:lang w:val="ru-RU" w:eastAsia="en-US" w:bidi="ar-SA"/>
        </w:rPr>
        <w:t>Щебетовой Е.А.</w:t>
      </w:r>
      <w:r>
        <w:rPr>
          <w:sz w:val="28"/>
          <w:szCs w:val="28"/>
          <w:lang w:eastAsia="en-US"/>
        </w:rPr>
        <w:t xml:space="preserve"> </w:t>
      </w:r>
      <w:r>
        <w:rPr>
          <w:bCs/>
          <w:sz w:val="28"/>
          <w:szCs w:val="28"/>
        </w:rPr>
        <w:t xml:space="preserve">– </w:t>
      </w:r>
      <w:r>
        <w:rPr>
          <w:rFonts w:eastAsia="Times New Roman" w:cs="Times New Roman"/>
          <w:bCs/>
          <w:color w:val="auto"/>
          <w:kern w:val="0"/>
          <w:sz w:val="28"/>
          <w:szCs w:val="28"/>
          <w:lang w:val="ru-RU" w:eastAsia="ar-SA" w:bidi="ar-SA"/>
        </w:rPr>
        <w:t>директору</w:t>
      </w:r>
      <w:r>
        <w:rPr>
          <w:bCs/>
          <w:sz w:val="28"/>
          <w:szCs w:val="28"/>
          <w:lang w:eastAsia="ar-SA"/>
        </w:rPr>
        <w:t xml:space="preserve"> МКУ «ЦБ УО»;</w:t>
      </w:r>
    </w:p>
    <w:p>
      <w:pPr>
        <w:pStyle w:val="Normal"/>
        <w:widowControl/>
        <w:suppressAutoHyphens w:val="true"/>
        <w:bidi w:val="0"/>
        <w:spacing w:lineRule="auto" w:line="240" w:before="0" w:after="0"/>
        <w:ind w:left="0" w:right="0" w:firstLine="624"/>
        <w:jc w:val="both"/>
        <w:rPr/>
      </w:pPr>
      <w:r>
        <w:rPr>
          <w:bCs/>
          <w:sz w:val="28"/>
          <w:szCs w:val="28"/>
        </w:rPr>
        <w:t>- направить в министерство экономики Краснодарского края выписку из акта проверки и копии подтверждающих документов по факту выявленн</w:t>
      </w:r>
      <w:r>
        <w:rPr>
          <w:rFonts w:eastAsia="Times New Roman" w:cs="Times New Roman"/>
          <w:bCs/>
          <w:color w:val="auto"/>
          <w:kern w:val="0"/>
          <w:sz w:val="28"/>
          <w:szCs w:val="28"/>
          <w:lang w:val="ru-RU" w:eastAsia="ru-RU" w:bidi="ar-SA"/>
        </w:rPr>
        <w:t>ых</w:t>
      </w:r>
      <w:r>
        <w:rPr>
          <w:bCs/>
          <w:sz w:val="28"/>
          <w:szCs w:val="28"/>
        </w:rPr>
        <w:t xml:space="preserve"> нарушени</w:t>
      </w:r>
      <w:r>
        <w:rPr>
          <w:rFonts w:eastAsia="Times New Roman" w:cs="Times New Roman"/>
          <w:bCs/>
          <w:color w:val="auto"/>
          <w:kern w:val="0"/>
          <w:sz w:val="28"/>
          <w:szCs w:val="28"/>
          <w:lang w:val="ru-RU" w:eastAsia="ru-RU" w:bidi="ar-SA"/>
        </w:rPr>
        <w:t>й</w:t>
      </w:r>
      <w:r>
        <w:rPr>
          <w:bCs/>
          <w:sz w:val="28"/>
          <w:szCs w:val="28"/>
        </w:rPr>
        <w:t>, содержащ</w:t>
      </w:r>
      <w:r>
        <w:rPr>
          <w:rFonts w:eastAsia="Times New Roman" w:cs="Times New Roman"/>
          <w:bCs/>
          <w:color w:val="auto"/>
          <w:kern w:val="0"/>
          <w:sz w:val="28"/>
          <w:szCs w:val="28"/>
          <w:lang w:val="ru-RU" w:eastAsia="ru-RU" w:bidi="ar-SA"/>
        </w:rPr>
        <w:t>их</w:t>
      </w:r>
      <w:r>
        <w:rPr>
          <w:bCs/>
          <w:sz w:val="28"/>
          <w:szCs w:val="28"/>
        </w:rPr>
        <w:t xml:space="preserve"> признаки административн</w:t>
      </w:r>
      <w:r>
        <w:rPr>
          <w:rFonts w:eastAsia="Times New Roman" w:cs="Times New Roman"/>
          <w:bCs/>
          <w:color w:val="auto"/>
          <w:kern w:val="0"/>
          <w:sz w:val="28"/>
          <w:szCs w:val="28"/>
          <w:lang w:val="ru-RU" w:eastAsia="ru-RU" w:bidi="ar-SA"/>
        </w:rPr>
        <w:t>ых</w:t>
      </w:r>
      <w:r>
        <w:rPr>
          <w:bCs/>
          <w:sz w:val="28"/>
          <w:szCs w:val="28"/>
        </w:rPr>
        <w:t xml:space="preserve"> правонарушени</w:t>
      </w:r>
      <w:r>
        <w:rPr>
          <w:rFonts w:eastAsia="Times New Roman" w:cs="Times New Roman"/>
          <w:bCs/>
          <w:color w:val="auto"/>
          <w:kern w:val="0"/>
          <w:sz w:val="28"/>
          <w:szCs w:val="28"/>
          <w:lang w:val="ru-RU" w:eastAsia="ru-RU" w:bidi="ar-SA"/>
        </w:rPr>
        <w:t>й</w:t>
      </w:r>
      <w:r>
        <w:rPr>
          <w:bCs/>
          <w:sz w:val="28"/>
          <w:szCs w:val="28"/>
        </w:rPr>
        <w:t>, ответственность за котор</w:t>
      </w:r>
      <w:r>
        <w:rPr>
          <w:rFonts w:eastAsia="Times New Roman" w:cs="Times New Roman"/>
          <w:bCs/>
          <w:color w:val="auto"/>
          <w:kern w:val="0"/>
          <w:sz w:val="28"/>
          <w:szCs w:val="28"/>
          <w:lang w:val="ru-RU" w:eastAsia="ru-RU" w:bidi="ar-SA"/>
        </w:rPr>
        <w:t>ы</w:t>
      </w:r>
      <w:r>
        <w:rPr>
          <w:bCs/>
          <w:sz w:val="28"/>
          <w:szCs w:val="28"/>
        </w:rPr>
        <w:t xml:space="preserve">е предусмотрена: </w:t>
      </w:r>
      <w:r>
        <w:rPr>
          <w:rFonts w:eastAsia="Times New Roman" w:cs="Times New Roman" w:ascii="Times New Roman CYR" w:hAnsi="Times New Roman CYR"/>
          <w:b w:val="false"/>
          <w:bCs/>
          <w:color w:val="000000"/>
          <w:kern w:val="0"/>
          <w:sz w:val="28"/>
          <w:szCs w:val="28"/>
          <w:highlight w:val="white"/>
          <w:u w:val="none"/>
          <w:lang w:val="ru-RU" w:eastAsia="ar-SA" w:bidi="ar-SA"/>
        </w:rPr>
        <w:t xml:space="preserve">частью </w:t>
      </w:r>
      <w:r>
        <w:rPr>
          <w:rFonts w:eastAsia="Times New Roman" w:cs="Times New Roman" w:ascii="Times New Roman CYR" w:hAnsi="Times New Roman CYR"/>
          <w:b w:val="false"/>
          <w:bCs/>
          <w:color w:val="000000"/>
          <w:kern w:val="0"/>
          <w:sz w:val="28"/>
          <w:szCs w:val="28"/>
          <w:highlight w:val="white"/>
          <w:u w:val="none"/>
          <w:lang w:val="ru-RU" w:eastAsia="ru-RU" w:bidi="ar-SA"/>
        </w:rPr>
        <w:t>1.4</w:t>
      </w:r>
      <w:r>
        <w:rPr>
          <w:rFonts w:eastAsia="Times New Roman" w:cs="Times New Roman" w:ascii="Times New Roman CYR" w:hAnsi="Times New Roman CYR"/>
          <w:b w:val="false"/>
          <w:bCs/>
          <w:color w:val="000000"/>
          <w:kern w:val="0"/>
          <w:sz w:val="28"/>
          <w:szCs w:val="28"/>
          <w:highlight w:val="white"/>
          <w:u w:val="none"/>
          <w:lang w:val="ru-RU" w:eastAsia="ar-SA" w:bidi="ar-SA"/>
        </w:rPr>
        <w:t xml:space="preserve"> статьи 7.30 КоАП РФ,                                                   частью 1 статьи 7.29 КоАП РФ.</w:t>
      </w:r>
    </w:p>
    <w:p>
      <w:pPr>
        <w:pStyle w:val="Normal"/>
        <w:ind w:left="-426" w:right="141" w:firstLine="284"/>
        <w:jc w:val="both"/>
        <w:rPr>
          <w:bCs/>
          <w:sz w:val="28"/>
          <w:szCs w:val="28"/>
        </w:rPr>
      </w:pPr>
      <w:r>
        <w:rPr>
          <w:bCs/>
          <w:sz w:val="28"/>
          <w:szCs w:val="28"/>
        </w:rPr>
      </w:r>
    </w:p>
    <w:p>
      <w:pPr>
        <w:pStyle w:val="Normal"/>
        <w:widowControl/>
        <w:suppressAutoHyphens w:val="true"/>
        <w:bidi w:val="0"/>
        <w:spacing w:lineRule="auto" w:line="240" w:before="0" w:after="0"/>
        <w:ind w:left="0" w:right="170" w:firstLine="624"/>
        <w:jc w:val="both"/>
        <w:rPr/>
      </w:pPr>
      <w:r>
        <w:rPr>
          <w:bCs/>
          <w:sz w:val="28"/>
          <w:szCs w:val="28"/>
        </w:rPr>
        <w:t xml:space="preserve">Настоящий акт составлен в одном экземпляре  на </w:t>
      </w:r>
      <w:r>
        <w:rPr>
          <w:rFonts w:eastAsia="Times New Roman" w:cs="Times New Roman"/>
          <w:bCs/>
          <w:color w:val="auto"/>
          <w:kern w:val="0"/>
          <w:sz w:val="28"/>
          <w:szCs w:val="28"/>
          <w:lang w:val="ru-RU" w:eastAsia="ru-RU" w:bidi="ar-SA"/>
        </w:rPr>
        <w:t>13</w:t>
      </w:r>
      <w:r>
        <w:rPr>
          <w:bCs/>
          <w:sz w:val="28"/>
          <w:szCs w:val="28"/>
        </w:rPr>
        <w:t xml:space="preserve"> листах. </w:t>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t>Руководитель комиссии                                                Л.В. Шибанихина</w:t>
      </w:r>
    </w:p>
    <w:p>
      <w:pPr>
        <w:pStyle w:val="Normal"/>
        <w:ind w:left="-426" w:right="141" w:firstLine="709"/>
        <w:jc w:val="both"/>
        <w:rPr>
          <w:bCs/>
          <w:sz w:val="28"/>
          <w:szCs w:val="28"/>
        </w:rPr>
      </w:pPr>
      <w:r>
        <w:rPr>
          <w:bCs/>
          <w:sz w:val="28"/>
          <w:szCs w:val="28"/>
        </w:rPr>
      </w:r>
    </w:p>
    <w:p>
      <w:pPr>
        <w:pStyle w:val="Normal"/>
        <w:ind w:left="-426" w:right="141" w:firstLine="709"/>
        <w:jc w:val="both"/>
        <w:rPr/>
      </w:pPr>
      <w:r>
        <w:rPr>
          <w:sz w:val="28"/>
          <w:szCs w:val="28"/>
        </w:rPr>
        <w:t>Член комиссии</w:t>
      </w:r>
      <w:r>
        <w:rPr>
          <w:bCs/>
          <w:sz w:val="28"/>
          <w:szCs w:val="28"/>
        </w:rPr>
        <w:t xml:space="preserve">                                                                А.А. Радченко</w:t>
      </w:r>
    </w:p>
    <w:p>
      <w:pPr>
        <w:pStyle w:val="Normal"/>
        <w:ind w:left="-426" w:right="141" w:firstLine="709"/>
        <w:jc w:val="both"/>
        <w:rPr>
          <w:bCs/>
          <w:sz w:val="28"/>
          <w:szCs w:val="28"/>
        </w:rPr>
      </w:pPr>
      <w:r>
        <w:rPr>
          <w:bCs/>
          <w:sz w:val="28"/>
          <w:szCs w:val="28"/>
        </w:rPr>
      </w:r>
    </w:p>
    <w:p>
      <w:pPr>
        <w:pStyle w:val="Normal"/>
        <w:ind w:left="-426" w:right="141" w:firstLine="709"/>
        <w:jc w:val="both"/>
        <w:rPr/>
      </w:pPr>
      <w:r>
        <w:rPr>
          <w:sz w:val="28"/>
          <w:szCs w:val="28"/>
        </w:rPr>
        <w:t>Член комиссии</w:t>
      </w:r>
      <w:r>
        <w:rPr>
          <w:bCs/>
          <w:sz w:val="28"/>
          <w:szCs w:val="28"/>
        </w:rPr>
        <w:t xml:space="preserve">                                                                 Е.А. Рындина</w:t>
      </w:r>
    </w:p>
    <w:sectPr>
      <w:headerReference w:type="default" r:id="rId2"/>
      <w:type w:val="nextPage"/>
      <w:pgSz w:w="11906" w:h="16838"/>
      <w:pgMar w:left="1134" w:right="680" w:header="960" w:top="1519" w:footer="0" w:bottom="113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12</w:t>
    </w:r>
    <w:r>
      <w:rPr/>
      <w:fldChar w:fldCharType="end"/>
    </w:r>
  </w:p>
</w:hdr>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ru-RU"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pPr>
      <w:spacing w:before="108" w:after="108"/>
      <w:jc w:val="center"/>
      <w:outlineLvl w:val="0"/>
    </w:pPr>
    <w:rPr>
      <w:rFonts w:ascii="Arial" w:hAnsi="Arial" w:eastAsia="Calibri" w:cs="Arial"/>
      <w:b/>
      <w:bCs/>
      <w:color w:val="26282F"/>
    </w:rPr>
  </w:style>
  <w:style w:type="character" w:styleId="DefaultParagraphFont">
    <w:name w:val="Default Paragraph Font"/>
    <w:qFormat/>
    <w:rPr/>
  </w:style>
  <w:style w:type="character" w:styleId="Style13">
    <w:name w:val="Текст выноски Знак"/>
    <w:basedOn w:val="DefaultParagraphFont"/>
    <w:qFormat/>
    <w:rPr>
      <w:rFonts w:ascii="Tahoma" w:hAnsi="Tahoma" w:eastAsia="Times New Roman" w:cs="Tahoma"/>
      <w:sz w:val="16"/>
      <w:szCs w:val="16"/>
      <w:lang w:eastAsia="ru-RU"/>
    </w:rPr>
  </w:style>
  <w:style w:type="character" w:styleId="Style14">
    <w:name w:val="Интернет-ссылка"/>
    <w:basedOn w:val="DefaultParagraphFont"/>
    <w:rPr>
      <w:color w:val="0000FF"/>
      <w:u w:val="single"/>
    </w:rPr>
  </w:style>
  <w:style w:type="character" w:styleId="Style15">
    <w:name w:val="Верхний колонтитул Знак"/>
    <w:basedOn w:val="DefaultParagraphFont"/>
    <w:qFormat/>
    <w:rPr>
      <w:rFonts w:ascii="Times New Roman" w:hAnsi="Times New Roman" w:eastAsia="Times New Roman" w:cs="Times New Roman"/>
      <w:sz w:val="24"/>
      <w:szCs w:val="24"/>
      <w:lang w:eastAsia="ru-RU"/>
    </w:rPr>
  </w:style>
  <w:style w:type="character" w:styleId="Style16">
    <w:name w:val="Нижний колонтитул Знак"/>
    <w:basedOn w:val="DefaultParagraphFont"/>
    <w:qFormat/>
    <w:rPr>
      <w:rFonts w:ascii="Times New Roman" w:hAnsi="Times New Roman" w:eastAsia="Times New Roman" w:cs="Times New Roman"/>
      <w:sz w:val="24"/>
      <w:szCs w:val="24"/>
      <w:lang w:eastAsia="ru-RU"/>
    </w:rPr>
  </w:style>
  <w:style w:type="character" w:styleId="11">
    <w:name w:val="Заголовок 1 Знак"/>
    <w:basedOn w:val="DefaultParagraphFont"/>
    <w:qFormat/>
    <w:rPr>
      <w:rFonts w:ascii="Arial" w:hAnsi="Arial" w:eastAsia="Calibri" w:cs="Arial"/>
      <w:b/>
      <w:bCs/>
      <w:color w:val="26282F"/>
      <w:sz w:val="24"/>
      <w:szCs w:val="24"/>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NoSpacing">
    <w:name w:val="No Spacing"/>
    <w:qFormat/>
    <w:pPr>
      <w:widowControl/>
      <w:suppressAutoHyphens w:val="true"/>
      <w:overflowPunct w:val="fals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BalloonText">
    <w:name w:val="Balloon Text"/>
    <w:basedOn w:val="Normal"/>
    <w:qFormat/>
    <w:pPr/>
    <w:rPr>
      <w:rFonts w:ascii="Tahoma" w:hAnsi="Tahoma" w:cs="Tahoma"/>
      <w:sz w:val="16"/>
      <w:szCs w:val="16"/>
    </w:rPr>
  </w:style>
  <w:style w:type="paragraph" w:styleId="ConsPlusNormal">
    <w:name w:val="ConsPlusNormal"/>
    <w:qFormat/>
    <w:pPr>
      <w:widowControl/>
      <w:suppressAutoHyphens w:val="true"/>
      <w:overflowPunct w:val="false"/>
      <w:bidi w:val="0"/>
      <w:spacing w:lineRule="auto" w:line="240" w:before="0" w:after="0"/>
      <w:ind w:left="0" w:right="0" w:firstLine="720"/>
      <w:jc w:val="left"/>
    </w:pPr>
    <w:rPr>
      <w:rFonts w:ascii="Arial" w:hAnsi="Arial" w:eastAsia="Times New Roman" w:cs="Arial"/>
      <w:color w:val="auto"/>
      <w:kern w:val="0"/>
      <w:sz w:val="20"/>
      <w:szCs w:val="20"/>
      <w:lang w:val="ru-RU" w:eastAsia="ru-RU" w:bidi="ar-SA"/>
    </w:rPr>
  </w:style>
  <w:style w:type="paragraph" w:styleId="Style22">
    <w:name w:val="Верхний и нижний колонтитулы"/>
    <w:basedOn w:val="Normal"/>
    <w:qFormat/>
    <w:pPr/>
    <w:rPr/>
  </w:style>
  <w:style w:type="paragraph" w:styleId="Style23">
    <w:name w:val="Header"/>
    <w:basedOn w:val="Normal"/>
    <w:pPr>
      <w:tabs>
        <w:tab w:val="clear" w:pos="408"/>
        <w:tab w:val="center" w:pos="4677" w:leader="none"/>
        <w:tab w:val="right" w:pos="9355" w:leader="none"/>
      </w:tabs>
    </w:pPr>
    <w:rPr/>
  </w:style>
  <w:style w:type="paragraph" w:styleId="Style24">
    <w:name w:val="Footer"/>
    <w:basedOn w:val="Normal"/>
    <w:pPr>
      <w:tabs>
        <w:tab w:val="clear" w:pos="408"/>
        <w:tab w:val="center" w:pos="4677" w:leader="none"/>
        <w:tab w:val="right" w:pos="9355" w:leader="none"/>
      </w:tabs>
    </w:pPr>
    <w:rPr/>
  </w:style>
  <w:style w:type="paragraph" w:styleId="ListParagraph">
    <w:name w:val="List Paragraph"/>
    <w:basedOn w:val="Normal"/>
    <w:qFormat/>
    <w:pPr>
      <w:spacing w:before="0" w:after="0"/>
      <w:ind w:left="720" w:right="0" w:hanging="0"/>
      <w:contextualSpacing/>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85245</TotalTime>
  <Application>LibreOffice/6.4.4.2$Windows_X86_64 LibreOffice_project/3d775be2011f3886db32dfd395a6a6d1ca2630ff</Application>
  <Pages>13</Pages>
  <Words>4829</Words>
  <Characters>29920</Characters>
  <CharactersWithSpaces>35834</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2019-10-01T10:13:00Z</dcterms:created>
  <dc:creator>GLSPEC</dc:creator>
  <dc:description/>
  <dc:language>ru-RU</dc:language>
  <cp:lastModifiedBy/>
  <cp:lastPrinted>2024-06-03T14:04:09Z</cp:lastPrinted>
  <dcterms:modified xsi:type="dcterms:W3CDTF">2024-06-03T13:50:27Z</dcterms:modified>
  <cp:revision>480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