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74" w:rsidRDefault="00712074" w:rsidP="00712074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  <w:r w:rsidRPr="00712074"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  <w:t>ПРОЕКТЫ РАЗВИТИЯ (СОФИНАНСИРОВАНИЕ)</w:t>
      </w:r>
    </w:p>
    <w:p w:rsidR="00712074" w:rsidRPr="00712074" w:rsidRDefault="00712074" w:rsidP="00712074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</w:p>
    <w:p w:rsidR="00712074" w:rsidRPr="00712074" w:rsidRDefault="00712074" w:rsidP="00712074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25272D"/>
          <w:sz w:val="24"/>
          <w:szCs w:val="24"/>
        </w:rPr>
      </w:pPr>
      <w:r w:rsidRPr="00712074">
        <w:rPr>
          <w:rFonts w:ascii="Inter" w:eastAsia="Times New Roman" w:hAnsi="Inter" w:cs="Times New Roman"/>
          <w:color w:val="25272D"/>
          <w:sz w:val="24"/>
          <w:szCs w:val="24"/>
        </w:rPr>
        <w:t>Предоставление займа на реализацию инвестиционных проектов.</w:t>
      </w:r>
    </w:p>
    <w:p w:rsidR="00712074" w:rsidRPr="00712074" w:rsidRDefault="00712074" w:rsidP="00712074">
      <w:pPr>
        <w:shd w:val="clear" w:color="auto" w:fill="FFFFFF"/>
        <w:spacing w:after="150" w:line="240" w:lineRule="auto"/>
        <w:contextualSpacing/>
        <w:jc w:val="both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712074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Сумма займа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20-200 </w:t>
      </w:r>
      <w:proofErr w:type="spellStart"/>
      <w:proofErr w:type="gramStart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млн</w:t>
      </w:r>
      <w:proofErr w:type="spellEnd"/>
      <w:proofErr w:type="gramEnd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 </w:t>
      </w:r>
      <w:proofErr w:type="spellStart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руб</w:t>
      </w:r>
      <w:proofErr w:type="spellEnd"/>
    </w:p>
    <w:p w:rsidR="00712074" w:rsidRPr="00712074" w:rsidRDefault="00712074" w:rsidP="00712074">
      <w:pPr>
        <w:shd w:val="clear" w:color="auto" w:fill="FFFFFF"/>
        <w:spacing w:after="150" w:line="240" w:lineRule="auto"/>
        <w:contextualSpacing/>
        <w:jc w:val="both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712074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Общий бюджет проекта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от 25 </w:t>
      </w:r>
      <w:proofErr w:type="spellStart"/>
      <w:proofErr w:type="gramStart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млн</w:t>
      </w:r>
      <w:proofErr w:type="spellEnd"/>
      <w:proofErr w:type="gramEnd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 </w:t>
      </w:r>
      <w:proofErr w:type="spellStart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руб</w:t>
      </w:r>
      <w:proofErr w:type="spellEnd"/>
    </w:p>
    <w:p w:rsidR="00712074" w:rsidRPr="00712074" w:rsidRDefault="00712074" w:rsidP="00712074">
      <w:pPr>
        <w:shd w:val="clear" w:color="auto" w:fill="FFFFFF"/>
        <w:spacing w:after="150" w:line="240" w:lineRule="auto"/>
        <w:contextualSpacing/>
        <w:jc w:val="both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712074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Процентная ставка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-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5% годовых базовая ставка</w:t>
      </w:r>
      <w:r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,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br/>
      </w:r>
      <w:r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-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3% годовых при банковской гарантии, а также гарантии ВЭБ</w:t>
      </w:r>
      <w:proofErr w:type="gramStart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.Р</w:t>
      </w:r>
      <w:proofErr w:type="gramEnd"/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Ф, Корпорации МСП или РГО, страхование АО ЭКСАР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br/>
      </w:r>
      <w:r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-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3% годовых при покупке российского оборудования и (или) отечественного ПО на сумму ≥ 50% от суммы займа</w:t>
      </w:r>
    </w:p>
    <w:p w:rsidR="00712074" w:rsidRDefault="00712074" w:rsidP="00712074">
      <w:pPr>
        <w:shd w:val="clear" w:color="auto" w:fill="FFFFFF"/>
        <w:spacing w:line="240" w:lineRule="auto"/>
        <w:contextualSpacing/>
        <w:jc w:val="both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712074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Срок займа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 </w:t>
      </w:r>
      <w:r w:rsidRPr="00712074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не более 5 лет</w:t>
      </w:r>
    </w:p>
    <w:p w:rsidR="00712074" w:rsidRPr="00712074" w:rsidRDefault="00712074" w:rsidP="00712074">
      <w:pPr>
        <w:shd w:val="clear" w:color="auto" w:fill="FFFFFF"/>
        <w:spacing w:line="240" w:lineRule="auto"/>
        <w:contextualSpacing/>
        <w:jc w:val="both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Целевой объем продаж продукции проекта:</w:t>
      </w: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- не менее 50% от суммы займа в год, начиная со 2 года серийного производства, кроме проектов, направленных на технологическое перевооружение и модернизацию судоремонтных предприятий, а также на повышение уровня автоматизации и </w:t>
      </w:r>
      <w:proofErr w:type="spell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цифровизации</w:t>
      </w:r>
      <w:proofErr w:type="spell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 промышленных предприятий.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Подача заявки на регистрацию результатов интеллектуальной деятельности:</w:t>
      </w: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proofErr w:type="gram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- не менее одной заявки в рамках проекта в виде изобретения, промышленного образца, программы для электронных вычислительных машин (программы для ЭВМ), базы данных, полезной модели, топологии интегральных микросхем, товарных знаков и знаков обслуживания и (или) заявления о государственной регистрации лекарственного препарата/медицинского изделия (исключая заявления на повторную регистрацию по истечении срока действия, выданного ранее).</w:t>
      </w:r>
      <w:proofErr w:type="gram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proofErr w:type="spellStart"/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Софинансирование</w:t>
      </w:r>
      <w:proofErr w:type="spellEnd"/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 xml:space="preserve"> со стороны заявителя, частных инвесторов или банков:</w:t>
      </w: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≥ 20% бюджета проект</w:t>
      </w:r>
      <w:r>
        <w:rPr>
          <w:rFonts w:ascii="Inter" w:eastAsia="Times New Roman" w:hAnsi="Inter" w:cs="Times New Roman"/>
          <w:color w:val="25272D"/>
          <w:sz w:val="27"/>
          <w:szCs w:val="27"/>
        </w:rPr>
        <w:t>а</w:t>
      </w: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Среднегодовой рост выработки на одного сотрудника в течение срока действия договора займа:</w:t>
      </w:r>
    </w:p>
    <w:p w:rsidR="00712074" w:rsidRP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 xml:space="preserve">- не менее 5%, начиная со 2 года после получения займа, для проектов по повышению уровня автоматизации и </w:t>
      </w:r>
      <w:proofErr w:type="spell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цифровизации</w:t>
      </w:r>
      <w:proofErr w:type="spell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 промышленных предприятий.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lastRenderedPageBreak/>
        <w:t>Средства, полученные для финансирования проекта, могут быть направлены на реализацию следующих мероприятий:</w:t>
      </w: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br/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1. Разработка нового продукта/технологии.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>2. Инжиниринг.</w:t>
      </w:r>
    </w:p>
    <w:p w:rsid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3. Приобретение прав на результаты интеллектуальной деятельности.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>4. Приобретение в собственность промышленного оборудования.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>5. Приобретение или использование специального оборудования для проведения ОКР и отработки технологии.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 xml:space="preserve">6. Разработка технико-экономического обоснования, </w:t>
      </w:r>
      <w:proofErr w:type="spell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прединвестиционный</w:t>
      </w:r>
      <w:proofErr w:type="spell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 анализ, не включая расходы на аналитические исследования рынка.</w:t>
      </w:r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br/>
        <w:t xml:space="preserve">7. Расходы, связанные с производством и выводом на рынок </w:t>
      </w:r>
      <w:proofErr w:type="spell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пилотных</w:t>
      </w:r>
      <w:proofErr w:type="spell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 партий продукции (≤ 20% от суммы займа, в том числе расходы на маркетинговое продвижение продукта не более 1 </w:t>
      </w:r>
      <w:proofErr w:type="spellStart"/>
      <w:proofErr w:type="gramStart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>млн</w:t>
      </w:r>
      <w:proofErr w:type="spellEnd"/>
      <w:proofErr w:type="gramEnd"/>
      <w:r w:rsidRPr="00712074">
        <w:rPr>
          <w:rFonts w:ascii="Inter" w:eastAsia="Times New Roman" w:hAnsi="Inter" w:cs="Times New Roman"/>
          <w:color w:val="25272D"/>
          <w:sz w:val="27"/>
          <w:szCs w:val="27"/>
        </w:rPr>
        <w:t xml:space="preserve"> рублей).</w:t>
      </w:r>
    </w:p>
    <w:p w:rsidR="00712074" w:rsidRPr="00712074" w:rsidRDefault="00712074" w:rsidP="00712074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</w:p>
    <w:p w:rsidR="009E1A7C" w:rsidRDefault="009E1A7C"/>
    <w:sectPr w:rsidR="009E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074"/>
    <w:rsid w:val="00712074"/>
    <w:rsid w:val="009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8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20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4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2025-02-10T14:26:00Z</dcterms:created>
  <dcterms:modified xsi:type="dcterms:W3CDTF">2025-02-10T14:30:00Z</dcterms:modified>
</cp:coreProperties>
</file>